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E" w:rsidRPr="00871DE9" w:rsidRDefault="00537F5E" w:rsidP="00537F5E">
      <w:pPr>
        <w:widowControl/>
        <w:autoSpaceDE/>
        <w:autoSpaceDN/>
        <w:adjustRightInd/>
        <w:rPr>
          <w:kern w:val="0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C0168E3" wp14:editId="7D2189D4">
                <wp:simplePos x="0" y="0"/>
                <wp:positionH relativeFrom="column">
                  <wp:posOffset>2952750</wp:posOffset>
                </wp:positionH>
                <wp:positionV relativeFrom="paragraph">
                  <wp:posOffset>60325</wp:posOffset>
                </wp:positionV>
                <wp:extent cx="1257300" cy="1330325"/>
                <wp:effectExtent l="0" t="0" r="19050" b="2222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ФЕДЕРАЛЬНОЕ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ГОСУДАРСТВЕННОЕ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БЮДЖЕТНОЕ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УЧРЕЖДЕНИЕ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НАУКИ</w:t>
                            </w:r>
                          </w:p>
                          <w:p w:rsidR="00537F5E" w:rsidRDefault="00537F5E" w:rsidP="00537F5E">
                            <w:pPr>
                              <w:spacing w:before="60"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ОБЪЕДИНЕННЫЙ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ИНСТИТУТ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ВЫСОКИХ 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ТЕМПЕРАТУР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РОСИЙСКОЙ</w:t>
                            </w:r>
                          </w:p>
                          <w:p w:rsidR="00537F5E" w:rsidRDefault="00537F5E" w:rsidP="00537F5E">
                            <w:pPr>
                              <w:spacing w:line="170" w:lineRule="exact"/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>АКАДЕМИИ НАУК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2.5pt;margin-top:4.75pt;width:99pt;height:104.7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" strokecolor="white">
                <v:textbox inset="1.5mm,.5mm">
                  <w:txbxContent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ФЕДЕРАЛЬНОЕ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ГОСУДАРСТВЕННОЕ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БЮДЖЕТНОЕ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УЧРЕЖДЕНИЕ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НАУКИ</w:t>
                      </w:r>
                    </w:p>
                    <w:p w:rsidR="00537F5E" w:rsidRDefault="00537F5E" w:rsidP="00537F5E">
                      <w:pPr>
                        <w:spacing w:before="60"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ОБЪЕДИНЕННЫЙ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ИНСТИТУТ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ВЫСОКИХ 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ТЕМПЕРАТУР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РОСИЙСКОЙ</w:t>
                      </w:r>
                    </w:p>
                    <w:p w:rsidR="00537F5E" w:rsidRDefault="00537F5E" w:rsidP="00537F5E">
                      <w:pPr>
                        <w:spacing w:line="170" w:lineRule="exact"/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>АКАДЕМИИ НАУК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18128" wp14:editId="56B487AA">
                <wp:simplePos x="0" y="0"/>
                <wp:positionH relativeFrom="column">
                  <wp:posOffset>4274820</wp:posOffset>
                </wp:positionH>
                <wp:positionV relativeFrom="paragraph">
                  <wp:posOffset>-28575</wp:posOffset>
                </wp:positionV>
                <wp:extent cx="2171700" cy="8001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F5E" w:rsidRDefault="00537F5E" w:rsidP="00537F5E">
                            <w:pPr>
                              <w:jc w:val="right"/>
                            </w:pPr>
                          </w:p>
                          <w:p w:rsidR="00537F5E" w:rsidRDefault="00537F5E" w:rsidP="00537F5E">
                            <w:pPr>
                              <w:jc w:val="right"/>
                            </w:pPr>
                          </w:p>
                          <w:p w:rsidR="00537F5E" w:rsidRDefault="00537F5E" w:rsidP="00537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36.6pt;margin-top:-2.25pt;width:17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" stroked="f">
                <v:textbox>
                  <w:txbxContent>
                    <w:p w:rsidR="00537F5E" w:rsidRDefault="00537F5E" w:rsidP="00537F5E">
                      <w:pPr>
                        <w:jc w:val="right"/>
                      </w:pPr>
                    </w:p>
                    <w:p w:rsidR="00537F5E" w:rsidRDefault="00537F5E" w:rsidP="00537F5E">
                      <w:pPr>
                        <w:jc w:val="right"/>
                      </w:pPr>
                    </w:p>
                    <w:p w:rsidR="00537F5E" w:rsidRDefault="00537F5E" w:rsidP="00537F5E"/>
                  </w:txbxContent>
                </v:textbox>
              </v:shape>
            </w:pict>
          </mc:Fallback>
        </mc:AlternateContent>
      </w: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kern w:val="0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C55E12" wp14:editId="3CB6C629">
            <wp:simplePos x="0" y="0"/>
            <wp:positionH relativeFrom="column">
              <wp:posOffset>1689735</wp:posOffset>
            </wp:positionH>
            <wp:positionV relativeFrom="paragraph">
              <wp:posOffset>74295</wp:posOffset>
            </wp:positionV>
            <wp:extent cx="1174115" cy="1455420"/>
            <wp:effectExtent l="0" t="0" r="6985" b="0"/>
            <wp:wrapNone/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rPr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rFonts w:ascii="Bookman Old Style" w:hAnsi="Bookman Old Style"/>
          <w:kern w:val="0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ADCE2C5" wp14:editId="16F46B2C">
            <wp:simplePos x="0" y="0"/>
            <wp:positionH relativeFrom="column">
              <wp:posOffset>2952750</wp:posOffset>
            </wp:positionH>
            <wp:positionV relativeFrom="paragraph">
              <wp:posOffset>135255</wp:posOffset>
            </wp:positionV>
            <wp:extent cx="1028700" cy="384175"/>
            <wp:effectExtent l="0" t="0" r="0" b="0"/>
            <wp:wrapNone/>
            <wp:docPr id="1" name="Рисунок 1" descr="Новы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овы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rFonts w:ascii="Garamond" w:hAnsi="Garamond"/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rFonts w:ascii="Garamond" w:hAnsi="Garamond"/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jc w:val="center"/>
        <w:rPr>
          <w:rFonts w:ascii="Garamond" w:hAnsi="Garamond"/>
          <w:kern w:val="0"/>
          <w:lang w:eastAsia="en-US"/>
        </w:rPr>
      </w:pPr>
    </w:p>
    <w:p w:rsidR="00537F5E" w:rsidRPr="00871DE9" w:rsidRDefault="00537F5E" w:rsidP="00537F5E">
      <w:pPr>
        <w:widowControl/>
        <w:autoSpaceDE/>
        <w:autoSpaceDN/>
        <w:adjustRightInd/>
        <w:spacing w:after="240"/>
        <w:jc w:val="center"/>
        <w:rPr>
          <w:rFonts w:ascii="Garamond" w:hAnsi="Garamond"/>
          <w:b/>
          <w:kern w:val="0"/>
          <w:sz w:val="40"/>
          <w:szCs w:val="40"/>
          <w:lang w:eastAsia="en-US"/>
        </w:rPr>
      </w:pPr>
      <w:r w:rsidRPr="00871DE9">
        <w:rPr>
          <w:rFonts w:ascii="Garamond" w:hAnsi="Garamond"/>
          <w:b/>
          <w:kern w:val="0"/>
          <w:sz w:val="40"/>
          <w:szCs w:val="40"/>
          <w:lang w:eastAsia="en-US"/>
        </w:rPr>
        <w:t>ПРИКАЗ</w:t>
      </w:r>
    </w:p>
    <w:p w:rsidR="00537F5E" w:rsidRPr="00871DE9" w:rsidRDefault="00537F5E" w:rsidP="00537F5E">
      <w:pPr>
        <w:widowControl/>
        <w:autoSpaceDE/>
        <w:autoSpaceDN/>
        <w:adjustRightInd/>
        <w:rPr>
          <w:rFonts w:ascii="Garamond" w:hAnsi="Garamond"/>
          <w:b/>
          <w:kern w:val="0"/>
          <w:sz w:val="28"/>
          <w:szCs w:val="28"/>
          <w:lang w:eastAsia="en-US"/>
        </w:rPr>
      </w:pPr>
      <w:r w:rsidRPr="00871DE9">
        <w:rPr>
          <w:rFonts w:ascii="Garamond" w:hAnsi="Garamond"/>
          <w:b/>
          <w:kern w:val="0"/>
          <w:sz w:val="28"/>
          <w:szCs w:val="28"/>
          <w:lang w:eastAsia="en-US"/>
        </w:rPr>
        <w:t>_______________                                                                        № __________</w:t>
      </w:r>
    </w:p>
    <w:p w:rsidR="00537F5E" w:rsidRPr="00871DE9" w:rsidRDefault="00537F5E" w:rsidP="00537F5E">
      <w:pPr>
        <w:widowControl/>
        <w:autoSpaceDE/>
        <w:autoSpaceDN/>
        <w:adjustRightInd/>
        <w:spacing w:after="240"/>
        <w:jc w:val="center"/>
        <w:rPr>
          <w:rFonts w:ascii="Garamond" w:hAnsi="Garamond"/>
          <w:b/>
          <w:kern w:val="0"/>
          <w:sz w:val="16"/>
          <w:szCs w:val="16"/>
          <w:lang w:eastAsia="en-US"/>
        </w:rPr>
      </w:pPr>
      <w:r w:rsidRPr="00871DE9">
        <w:rPr>
          <w:rFonts w:ascii="Garamond" w:hAnsi="Garamond"/>
          <w:kern w:val="0"/>
          <w:sz w:val="22"/>
          <w:szCs w:val="22"/>
          <w:lang w:eastAsia="en-US"/>
        </w:rPr>
        <w:t>Москва</w:t>
      </w:r>
    </w:p>
    <w:p w:rsidR="00537F5E" w:rsidRDefault="00537F5E" w:rsidP="00537F5E">
      <w:pPr>
        <w:jc w:val="both"/>
        <w:rPr>
          <w:bCs/>
        </w:rPr>
      </w:pPr>
      <w:r w:rsidRPr="009657A1">
        <w:rPr>
          <w:bCs/>
        </w:rPr>
        <w:t xml:space="preserve">Об утверждении </w:t>
      </w:r>
      <w:r>
        <w:rPr>
          <w:bCs/>
        </w:rPr>
        <w:t xml:space="preserve">Плана мероприятий </w:t>
      </w:r>
    </w:p>
    <w:p w:rsidR="00537F5E" w:rsidRPr="009657A1" w:rsidRDefault="00537F5E" w:rsidP="00537F5E">
      <w:pPr>
        <w:jc w:val="both"/>
        <w:rPr>
          <w:bCs/>
        </w:rPr>
      </w:pPr>
      <w:r>
        <w:rPr>
          <w:bCs/>
        </w:rPr>
        <w:t>по борьбе с коррупцией на 2017 г.</w:t>
      </w:r>
    </w:p>
    <w:p w:rsidR="00537F5E" w:rsidRDefault="00537F5E" w:rsidP="00537F5E">
      <w:pPr>
        <w:ind w:firstLine="540"/>
        <w:jc w:val="both"/>
        <w:rPr>
          <w:sz w:val="28"/>
          <w:szCs w:val="28"/>
        </w:rPr>
      </w:pPr>
    </w:p>
    <w:p w:rsidR="00537F5E" w:rsidRDefault="00537F5E" w:rsidP="00537F5E">
      <w:pPr>
        <w:spacing w:line="360" w:lineRule="auto"/>
        <w:ind w:firstLine="540"/>
        <w:jc w:val="both"/>
        <w:rPr>
          <w:sz w:val="28"/>
          <w:szCs w:val="28"/>
        </w:rPr>
      </w:pPr>
    </w:p>
    <w:p w:rsidR="00537F5E" w:rsidRDefault="00537F5E" w:rsidP="00537F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коррупции в ОИВТ РАН </w:t>
      </w:r>
    </w:p>
    <w:p w:rsidR="00537F5E" w:rsidRDefault="00537F5E" w:rsidP="00537F5E">
      <w:pPr>
        <w:spacing w:line="360" w:lineRule="auto"/>
        <w:ind w:firstLine="709"/>
        <w:jc w:val="both"/>
        <w:rPr>
          <w:sz w:val="28"/>
          <w:szCs w:val="28"/>
        </w:rPr>
      </w:pPr>
    </w:p>
    <w:p w:rsidR="00537F5E" w:rsidRDefault="00537F5E" w:rsidP="00537F5E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ПРИКАЗЫВАЮ:</w:t>
      </w:r>
    </w:p>
    <w:p w:rsidR="00537F5E" w:rsidRPr="003B4916" w:rsidRDefault="00537F5E" w:rsidP="00537F5E">
      <w:pPr>
        <w:spacing w:line="360" w:lineRule="auto"/>
        <w:ind w:firstLine="709"/>
        <w:jc w:val="center"/>
        <w:rPr>
          <w:sz w:val="28"/>
          <w:szCs w:val="28"/>
        </w:rPr>
      </w:pPr>
    </w:p>
    <w:p w:rsidR="00537F5E" w:rsidRPr="00DD1472" w:rsidRDefault="00537F5E" w:rsidP="00537F5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  <w:r w:rsidRPr="00DD1472">
        <w:rPr>
          <w:sz w:val="28"/>
          <w:szCs w:val="28"/>
        </w:rPr>
        <w:t xml:space="preserve">Утвердить </w:t>
      </w:r>
      <w:r w:rsidRPr="00537F5E">
        <w:rPr>
          <w:sz w:val="28"/>
          <w:szCs w:val="28"/>
        </w:rPr>
        <w:t>Плана мероприятий</w:t>
      </w:r>
      <w:r>
        <w:rPr>
          <w:sz w:val="28"/>
          <w:szCs w:val="28"/>
        </w:rPr>
        <w:t xml:space="preserve"> ОИВТ РАН</w:t>
      </w:r>
      <w:r w:rsidRPr="00537F5E">
        <w:rPr>
          <w:sz w:val="28"/>
          <w:szCs w:val="28"/>
        </w:rPr>
        <w:t xml:space="preserve"> по борьбе с коррупцией на 2</w:t>
      </w:r>
      <w:r>
        <w:rPr>
          <w:sz w:val="28"/>
          <w:szCs w:val="28"/>
        </w:rPr>
        <w:t>0</w:t>
      </w:r>
      <w:r w:rsidRPr="00537F5E">
        <w:rPr>
          <w:sz w:val="28"/>
          <w:szCs w:val="28"/>
        </w:rPr>
        <w:t>17 г.</w:t>
      </w:r>
      <w:r>
        <w:rPr>
          <w:sz w:val="28"/>
          <w:szCs w:val="28"/>
        </w:rPr>
        <w:t xml:space="preserve"> </w:t>
      </w:r>
      <w:r w:rsidRPr="00DD14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к настоящему приказу.</w:t>
      </w:r>
    </w:p>
    <w:p w:rsidR="00537F5E" w:rsidRDefault="00537F5E" w:rsidP="00537F5E">
      <w:pPr>
        <w:spacing w:line="360" w:lineRule="auto"/>
        <w:jc w:val="both"/>
        <w:rPr>
          <w:sz w:val="28"/>
          <w:szCs w:val="28"/>
        </w:rPr>
      </w:pPr>
    </w:p>
    <w:p w:rsidR="00537F5E" w:rsidRDefault="00537F5E" w:rsidP="00537F5E">
      <w:pPr>
        <w:spacing w:line="360" w:lineRule="auto"/>
        <w:jc w:val="both"/>
        <w:rPr>
          <w:sz w:val="28"/>
          <w:szCs w:val="28"/>
        </w:rPr>
      </w:pPr>
    </w:p>
    <w:p w:rsidR="00537F5E" w:rsidRDefault="00537F5E" w:rsidP="00537F5E">
      <w:pPr>
        <w:spacing w:line="360" w:lineRule="auto"/>
        <w:jc w:val="both"/>
        <w:rPr>
          <w:sz w:val="28"/>
          <w:szCs w:val="28"/>
        </w:rPr>
      </w:pPr>
    </w:p>
    <w:p w:rsidR="00537F5E" w:rsidRPr="00D06783" w:rsidRDefault="00537F5E" w:rsidP="00537F5E">
      <w:pPr>
        <w:jc w:val="both"/>
        <w:rPr>
          <w:sz w:val="28"/>
          <w:szCs w:val="28"/>
        </w:rPr>
      </w:pPr>
      <w:r w:rsidRPr="00D06783">
        <w:rPr>
          <w:sz w:val="28"/>
          <w:szCs w:val="28"/>
        </w:rPr>
        <w:t>Заместитель директора</w:t>
      </w:r>
    </w:p>
    <w:p w:rsidR="00537F5E" w:rsidRDefault="00537F5E" w:rsidP="00537F5E">
      <w:pPr>
        <w:rPr>
          <w:sz w:val="28"/>
          <w:szCs w:val="28"/>
        </w:rPr>
      </w:pPr>
      <w:r w:rsidRPr="00D06783">
        <w:rPr>
          <w:sz w:val="28"/>
          <w:szCs w:val="28"/>
        </w:rPr>
        <w:t>ОИВТ РАН                                                                                      Гавриков А.В.</w:t>
      </w:r>
    </w:p>
    <w:p w:rsidR="00114268" w:rsidRDefault="0011426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14268" w:rsidRDefault="00114268" w:rsidP="00114268">
      <w:pPr>
        <w:widowControl/>
        <w:autoSpaceDE/>
        <w:autoSpaceDN/>
        <w:adjustRightInd/>
        <w:jc w:val="right"/>
        <w:rPr>
          <w:rFonts w:eastAsia="Calibri"/>
          <w:kern w:val="0"/>
          <w:sz w:val="26"/>
          <w:szCs w:val="26"/>
          <w:lang w:eastAsia="en-US"/>
        </w:rPr>
        <w:sectPr w:rsidR="00114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268" w:rsidRDefault="00114268" w:rsidP="00114268">
      <w:pPr>
        <w:suppressAutoHyphens/>
        <w:spacing w:after="160" w:line="259" w:lineRule="auto"/>
        <w:ind w:left="103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114268" w:rsidRDefault="00114268" w:rsidP="00114268">
      <w:pPr>
        <w:ind w:left="103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 ОИВТ РАН</w:t>
      </w:r>
    </w:p>
    <w:p w:rsidR="00114268" w:rsidRDefault="00114268" w:rsidP="00114268">
      <w:pPr>
        <w:ind w:left="103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01.12.2016 № 5ПК</w:t>
      </w:r>
    </w:p>
    <w:p w:rsidR="00114268" w:rsidRPr="00114268" w:rsidRDefault="00114268" w:rsidP="00114268">
      <w:pPr>
        <w:widowControl/>
        <w:autoSpaceDE/>
        <w:autoSpaceDN/>
        <w:adjustRightInd/>
        <w:jc w:val="right"/>
        <w:rPr>
          <w:rFonts w:eastAsia="Calibri"/>
          <w:kern w:val="0"/>
          <w:sz w:val="26"/>
          <w:szCs w:val="26"/>
          <w:lang w:eastAsia="en-US"/>
        </w:rPr>
      </w:pPr>
    </w:p>
    <w:p w:rsidR="00114268" w:rsidRPr="00114268" w:rsidRDefault="00114268" w:rsidP="00114268">
      <w:pPr>
        <w:widowControl/>
        <w:autoSpaceDE/>
        <w:autoSpaceDN/>
        <w:adjustRightInd/>
        <w:jc w:val="center"/>
        <w:rPr>
          <w:rFonts w:eastAsia="Calibri"/>
          <w:kern w:val="0"/>
          <w:sz w:val="26"/>
          <w:szCs w:val="26"/>
          <w:lang w:eastAsia="en-US"/>
        </w:rPr>
      </w:pPr>
    </w:p>
    <w:p w:rsidR="00114268" w:rsidRPr="00114268" w:rsidRDefault="00114268" w:rsidP="00114268">
      <w:pPr>
        <w:widowControl/>
        <w:autoSpaceDE/>
        <w:autoSpaceDN/>
        <w:adjustRightInd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114268">
        <w:rPr>
          <w:rFonts w:eastAsia="Calibri"/>
          <w:b/>
          <w:kern w:val="0"/>
          <w:sz w:val="26"/>
          <w:szCs w:val="26"/>
          <w:lang w:eastAsia="en-US"/>
        </w:rPr>
        <w:t>План мероприятий по противодействию коррупции</w:t>
      </w:r>
    </w:p>
    <w:p w:rsidR="00114268" w:rsidRPr="00114268" w:rsidRDefault="00114268" w:rsidP="00114268">
      <w:pPr>
        <w:widowControl/>
        <w:autoSpaceDE/>
        <w:autoSpaceDN/>
        <w:adjustRightInd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>ОИВТ РАН</w:t>
      </w:r>
      <w:r w:rsidRPr="00114268">
        <w:rPr>
          <w:rFonts w:eastAsia="Calibri"/>
          <w:b/>
          <w:kern w:val="0"/>
          <w:sz w:val="26"/>
          <w:szCs w:val="26"/>
          <w:lang w:eastAsia="en-US"/>
        </w:rPr>
        <w:t xml:space="preserve"> на 20</w:t>
      </w:r>
      <w:r>
        <w:rPr>
          <w:rFonts w:eastAsia="Calibri"/>
          <w:b/>
          <w:kern w:val="0"/>
          <w:sz w:val="26"/>
          <w:szCs w:val="26"/>
          <w:lang w:eastAsia="en-US"/>
        </w:rPr>
        <w:t>17</w:t>
      </w:r>
      <w:r w:rsidRPr="00114268">
        <w:rPr>
          <w:rFonts w:eastAsia="Calibri"/>
          <w:b/>
          <w:kern w:val="0"/>
          <w:sz w:val="26"/>
          <w:szCs w:val="26"/>
          <w:lang w:eastAsia="en-US"/>
        </w:rPr>
        <w:t xml:space="preserve"> год</w:t>
      </w:r>
    </w:p>
    <w:p w:rsidR="00114268" w:rsidRPr="00114268" w:rsidRDefault="00114268" w:rsidP="00114268">
      <w:pPr>
        <w:widowControl/>
        <w:autoSpaceDE/>
        <w:autoSpaceDN/>
        <w:adjustRightInd/>
        <w:jc w:val="center"/>
        <w:rPr>
          <w:rFonts w:eastAsia="Calibri"/>
          <w:b/>
          <w:kern w:val="0"/>
          <w:sz w:val="26"/>
          <w:szCs w:val="26"/>
          <w:lang w:eastAsia="en-US"/>
        </w:rPr>
      </w:pPr>
    </w:p>
    <w:tbl>
      <w:tblPr>
        <w:tblW w:w="152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95"/>
        <w:gridCol w:w="1985"/>
        <w:gridCol w:w="1760"/>
        <w:gridCol w:w="3177"/>
      </w:tblGrid>
      <w:tr w:rsidR="00114268" w:rsidRPr="00114268" w:rsidTr="007B7E36">
        <w:tc>
          <w:tcPr>
            <w:tcW w:w="71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№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98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Ответственный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76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Срок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3177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Ожидаемый результат</w:t>
            </w: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517" w:type="dxa"/>
            <w:gridSpan w:val="4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 xml:space="preserve">Повышение эффективности механизмов урегулирования конфликта интересов, обеспечение соблюдения работниками Учреждения ограничений, запретов и принципов служебного поведения в связи с исполнением ими должностных обязанностей, а так же ответственности за их нарушение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B153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1.</w:t>
            </w:r>
            <w:r w:rsidR="00B1533E">
              <w:rPr>
                <w:rFonts w:eastAsia="Calibri"/>
                <w:kern w:val="0"/>
                <w:sz w:val="26"/>
                <w:szCs w:val="26"/>
                <w:lang w:eastAsia="en-US"/>
              </w:rPr>
              <w:t>1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Осуществление комплекса организационных, разъяснительных и иных мер по недопущению работниками 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ОИВТ РАН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взятки, или как просьба о даче взятки, формированию у них отрицательного отношения к коррупции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Отдел кадров,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176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Постоянно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в течение 20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77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Организация занятий, проведение консультаций и направление указаний по разъяснению положений антикоррупционного законодательства</w:t>
            </w: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B153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1.</w:t>
            </w:r>
            <w:r w:rsidR="00B1533E">
              <w:rPr>
                <w:rFonts w:eastAsia="Calibri"/>
                <w:kern w:val="0"/>
                <w:sz w:val="26"/>
                <w:szCs w:val="26"/>
                <w:lang w:eastAsia="en-US"/>
              </w:rPr>
              <w:t>2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Активизировать осуществление комплекса организационных, разъяснительных  и иных мер по соблюдению работниками ограничений касающихся получения подарков, в том числе направленных на формирование негативного отношения к дарению подарков указанным работникам в связи с исполнением ими должностных обязанностей, формированию у них отрицательного отношения к коррупции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Отдел кадров,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Руководители структурных подразделений </w:t>
            </w:r>
          </w:p>
        </w:tc>
        <w:tc>
          <w:tcPr>
            <w:tcW w:w="176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Постоянно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в течение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20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77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П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роведение консультаций</w:t>
            </w: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B153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1.</w:t>
            </w:r>
            <w:r w:rsidR="00B1533E">
              <w:rPr>
                <w:rFonts w:eastAsia="Calibri"/>
                <w:kern w:val="0"/>
                <w:sz w:val="26"/>
                <w:szCs w:val="26"/>
                <w:lang w:eastAsia="en-US"/>
              </w:rPr>
              <w:t>3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Организация проведения в порядке, предусмотренном 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 xml:space="preserve">нормативными правовыми актами Российской Федерации, проверок по каждому случаю несоблюдения работниками ограничений, запретов и неисполнения обязанностей, установленных в целях противодействия коррупции, в том числе нарушения ограничений, касающихся получения подарков, порядка сдачи подарка, а также применение соответствующих мер юридической ответственности  </w:t>
            </w:r>
          </w:p>
        </w:tc>
        <w:tc>
          <w:tcPr>
            <w:tcW w:w="198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 xml:space="preserve">Заместитель 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>директора ОИВТ РАН Герасимов В.И.</w:t>
            </w:r>
          </w:p>
        </w:tc>
        <w:tc>
          <w:tcPr>
            <w:tcW w:w="176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 xml:space="preserve">Постоянно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>в течение 20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77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 xml:space="preserve">Приказы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>ОИВ</w:t>
            </w:r>
            <w:r w:rsidR="00D00A69">
              <w:rPr>
                <w:rFonts w:eastAsia="Calibri"/>
                <w:kern w:val="0"/>
                <w:sz w:val="26"/>
                <w:szCs w:val="26"/>
                <w:lang w:eastAsia="en-US"/>
              </w:rPr>
              <w:t>Т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 РАН</w:t>
            </w: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B153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>1.</w:t>
            </w:r>
            <w:r w:rsidR="00B1533E">
              <w:rPr>
                <w:rFonts w:eastAsia="Calibri"/>
                <w:kern w:val="0"/>
                <w:sz w:val="26"/>
                <w:szCs w:val="26"/>
                <w:lang w:eastAsia="en-US"/>
              </w:rPr>
              <w:t>4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Организация мониторинга и обобщение практики исполнения установленного порядка сообщения работниками о получении подарка в связи с их должностным положением или исполнением ими должностных обязанностей о сдаче и оценке подарка, реализации (выкупе) и зачислении в доход соответствующего бюджета средств, вырученных от продажи подарка 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114268" w:rsidRPr="00114268" w:rsidRDefault="006536F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Бухгалтерия</w:t>
            </w:r>
          </w:p>
        </w:tc>
        <w:tc>
          <w:tcPr>
            <w:tcW w:w="1760" w:type="dxa"/>
          </w:tcPr>
          <w:p w:rsidR="00114268" w:rsidRPr="00114268" w:rsidRDefault="006536F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До 31.12.2017</w:t>
            </w:r>
          </w:p>
        </w:tc>
        <w:tc>
          <w:tcPr>
            <w:tcW w:w="3177" w:type="dxa"/>
          </w:tcPr>
          <w:p w:rsidR="00114268" w:rsidRPr="00114268" w:rsidRDefault="006536F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Отчет</w:t>
            </w:r>
            <w:bookmarkStart w:id="0" w:name="_GoBack"/>
            <w:bookmarkEnd w:id="0"/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B153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1.</w:t>
            </w:r>
            <w:r w:rsidR="00B1533E">
              <w:rPr>
                <w:rFonts w:eastAsia="Calibri"/>
                <w:kern w:val="0"/>
                <w:sz w:val="26"/>
                <w:szCs w:val="26"/>
                <w:lang w:eastAsia="en-US"/>
              </w:rPr>
              <w:t>5</w:t>
            </w: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Организация своевременного доведения до работников положений законодательства Российской Федерации о противодействии коррупции, изменений и дополнений, вносимых в Федеральные законы, подзаконные акты и нормативные  правовые акты ФАНО России.</w:t>
            </w:r>
            <w:r w:rsidRPr="00114268">
              <w:rPr>
                <w:kern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14268" w:rsidRPr="00114268" w:rsidRDefault="00D00A69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Дирекция</w:t>
            </w:r>
            <w:r w:rsidR="00114268"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6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Постоянно </w:t>
            </w:r>
          </w:p>
          <w:p w:rsidR="00114268" w:rsidRPr="00114268" w:rsidRDefault="00114268" w:rsidP="00D00A69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в течение 20</w:t>
            </w:r>
            <w:r w:rsidR="00D00A69">
              <w:rPr>
                <w:rFonts w:eastAsia="Calibri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77" w:type="dxa"/>
          </w:tcPr>
          <w:p w:rsidR="00D00A69" w:rsidRPr="00114268" w:rsidRDefault="00D00A69" w:rsidP="00D00A69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Приказы </w:t>
            </w:r>
          </w:p>
          <w:p w:rsidR="00114268" w:rsidRPr="00114268" w:rsidRDefault="00D00A69" w:rsidP="00D00A69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ОИВТ РАН</w:t>
            </w: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4517" w:type="dxa"/>
            <w:gridSpan w:val="4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 xml:space="preserve">Выявление и систематизация причин  и условий проявления коррупции в деятельности </w:t>
            </w:r>
            <w:r w:rsidR="00D00A69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>ОИВТ РАН</w:t>
            </w:r>
            <w:r w:rsidRPr="00114268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>, мониторинг коррупционных рисков и их устранение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Повышение эффективности и результативности осуществления закупок товаров, работ и  услуг, обеспечение гласности и  прозрачности осуществления таких закупок за счет: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- планирования закупок товаров, работ, услуг;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- определение поставщиков (подрядчиков, исполнителей);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- заключение контрактов на закупки товаров, работ и услуг;</w:t>
            </w:r>
          </w:p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- мониторинг закупок товаров, работ, услуг</w:t>
            </w:r>
          </w:p>
        </w:tc>
        <w:tc>
          <w:tcPr>
            <w:tcW w:w="1985" w:type="dxa"/>
          </w:tcPr>
          <w:p w:rsidR="00114268" w:rsidRPr="00114268" w:rsidRDefault="00D00A69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ФЭО, Отдел размещения заказов на товары и услуги, Отдел управления имуществом.</w:t>
            </w:r>
          </w:p>
        </w:tc>
        <w:tc>
          <w:tcPr>
            <w:tcW w:w="1760" w:type="dxa"/>
          </w:tcPr>
          <w:p w:rsidR="00114268" w:rsidRPr="00114268" w:rsidRDefault="00114268" w:rsidP="00D00A69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Постоянно в течение 20</w:t>
            </w:r>
            <w:r w:rsidR="00D00A69">
              <w:rPr>
                <w:rFonts w:eastAsia="Calibri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77" w:type="dxa"/>
          </w:tcPr>
          <w:p w:rsidR="00114268" w:rsidRPr="00114268" w:rsidRDefault="00F04E6E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Повышение эффективности и результативности закупок, минимизация коррупционных рисков</w:t>
            </w:r>
          </w:p>
        </w:tc>
      </w:tr>
      <w:tr w:rsidR="00114268" w:rsidRPr="00114268" w:rsidTr="007B7E36">
        <w:tc>
          <w:tcPr>
            <w:tcW w:w="710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7595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Активизировать работу по мониторингу и выявлению коррупционных рисков при осуществлении деятельности по закупкам товаров, работ, услуг, обеспечения гласности и прозрачности осуществления таких закупок в рамках Федерального закона от 5 апреля 2013года № 44-ФЗ                     «О контрактной системе в сфере закупок товаров, услуг для обеспечения государственных и муниципальных нужд»  </w:t>
            </w:r>
          </w:p>
        </w:tc>
        <w:tc>
          <w:tcPr>
            <w:tcW w:w="1985" w:type="dxa"/>
          </w:tcPr>
          <w:p w:rsidR="00114268" w:rsidRPr="00114268" w:rsidRDefault="00D00A69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ФЭО, Отдел размещения заказов на товары и услуги, Отдел управления имуществом.</w:t>
            </w:r>
          </w:p>
        </w:tc>
        <w:tc>
          <w:tcPr>
            <w:tcW w:w="1760" w:type="dxa"/>
          </w:tcPr>
          <w:p w:rsidR="00114268" w:rsidRPr="00114268" w:rsidRDefault="00114268" w:rsidP="00D00A69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Постоянно в течение 20</w:t>
            </w:r>
            <w:r w:rsidR="00D00A69">
              <w:rPr>
                <w:rFonts w:eastAsia="Calibri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77" w:type="dxa"/>
          </w:tcPr>
          <w:p w:rsidR="00114268" w:rsidRPr="00114268" w:rsidRDefault="00114268" w:rsidP="00114268">
            <w:pPr>
              <w:widowControl/>
              <w:autoSpaceDE/>
              <w:autoSpaceDN/>
              <w:adjustRightInd/>
              <w:jc w:val="both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114268">
              <w:rPr>
                <w:rFonts w:eastAsia="Calibri"/>
                <w:kern w:val="0"/>
                <w:sz w:val="26"/>
                <w:szCs w:val="26"/>
                <w:lang w:eastAsia="en-US"/>
              </w:rPr>
              <w:t>Повышение эффективности и результативности закупок, минимизация коррупционных рисков</w:t>
            </w:r>
          </w:p>
        </w:tc>
      </w:tr>
    </w:tbl>
    <w:p w:rsidR="00114268" w:rsidRPr="00114268" w:rsidRDefault="00114268" w:rsidP="0011426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kern w:val="0"/>
          <w:sz w:val="26"/>
          <w:szCs w:val="26"/>
          <w:lang w:eastAsia="en-US"/>
        </w:rPr>
      </w:pPr>
    </w:p>
    <w:p w:rsidR="00417A03" w:rsidRDefault="00417A03"/>
    <w:sectPr w:rsidR="00417A03" w:rsidSect="00114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9C"/>
    <w:rsid w:val="00114268"/>
    <w:rsid w:val="00417A03"/>
    <w:rsid w:val="00537F5E"/>
    <w:rsid w:val="00563D9C"/>
    <w:rsid w:val="006536F8"/>
    <w:rsid w:val="00B1533E"/>
    <w:rsid w:val="00D00A69"/>
    <w:rsid w:val="00F0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Gavrikov</dc:creator>
  <cp:keywords/>
  <dc:description/>
  <cp:lastModifiedBy>Gavrikov</cp:lastModifiedBy>
  <cp:revision>5</cp:revision>
  <dcterms:created xsi:type="dcterms:W3CDTF">2016-12-28T13:27:00Z</dcterms:created>
  <dcterms:modified xsi:type="dcterms:W3CDTF">2016-12-28T13:58:00Z</dcterms:modified>
</cp:coreProperties>
</file>