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6EB" w:rsidRPr="003614EA" w:rsidRDefault="00D426EB" w:rsidP="00D426EB">
      <w:pPr>
        <w:rPr>
          <w:rFonts w:cs="Times New Roman"/>
          <w:szCs w:val="24"/>
        </w:rPr>
      </w:pPr>
      <w:r w:rsidRPr="003614EA">
        <w:rPr>
          <w:rFonts w:cs="Times New Roman"/>
          <w:szCs w:val="24"/>
        </w:rPr>
        <w:t>УДК 539.194</w:t>
      </w:r>
    </w:p>
    <w:p w:rsidR="00D426EB" w:rsidRPr="00607B6C" w:rsidRDefault="00D426EB" w:rsidP="00D426EB"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Погрешности расчета термодинамических функций двухатомных идеальных газов на примере молекулы </w:t>
      </w:r>
      <w:proofErr w:type="spellStart"/>
      <w:r>
        <w:rPr>
          <w:rFonts w:cs="Times New Roman"/>
          <w:b/>
          <w:sz w:val="24"/>
          <w:szCs w:val="24"/>
          <w:lang w:val="en-US"/>
        </w:rPr>
        <w:t>ArN</w:t>
      </w:r>
      <w:proofErr w:type="spellEnd"/>
      <w:r w:rsidRPr="00607B6C">
        <w:rPr>
          <w:rFonts w:cs="Times New Roman"/>
          <w:b/>
          <w:sz w:val="24"/>
          <w:szCs w:val="24"/>
        </w:rPr>
        <w:t>+</w:t>
      </w:r>
    </w:p>
    <w:p w:rsidR="00D426EB" w:rsidRPr="00601E8B" w:rsidRDefault="00D426EB" w:rsidP="00D426EB">
      <w:pPr>
        <w:spacing w:line="240" w:lineRule="auto"/>
        <w:jc w:val="center"/>
        <w:rPr>
          <w:rFonts w:cs="Times New Roman"/>
          <w:b/>
          <w:i/>
        </w:rPr>
      </w:pPr>
      <w:r w:rsidRPr="00601E8B">
        <w:rPr>
          <w:rFonts w:cs="Times New Roman"/>
          <w:b/>
          <w:i/>
        </w:rPr>
        <w:t>С. А. Аксенова</w:t>
      </w:r>
      <w:r w:rsidRPr="00601E8B">
        <w:rPr>
          <w:rFonts w:cs="Times New Roman"/>
          <w:b/>
          <w:i/>
          <w:vertAlign w:val="superscript"/>
        </w:rPr>
        <w:t>1,2</w:t>
      </w:r>
      <w:r w:rsidRPr="00601E8B">
        <w:rPr>
          <w:rFonts w:cs="Times New Roman"/>
          <w:b/>
          <w:i/>
        </w:rPr>
        <w:t>, М. А. Мальцев</w:t>
      </w:r>
      <w:r w:rsidRPr="00601E8B">
        <w:rPr>
          <w:rFonts w:cs="Times New Roman"/>
          <w:b/>
          <w:i/>
          <w:vertAlign w:val="superscript"/>
        </w:rPr>
        <w:t>1,2</w:t>
      </w:r>
      <w:r w:rsidRPr="00601E8B">
        <w:rPr>
          <w:rFonts w:cs="Times New Roman"/>
          <w:b/>
          <w:i/>
        </w:rPr>
        <w:t>, И. В. Морозов</w:t>
      </w:r>
      <w:r w:rsidRPr="00601E8B">
        <w:rPr>
          <w:rFonts w:cs="Times New Roman"/>
          <w:b/>
          <w:i/>
          <w:vertAlign w:val="superscript"/>
        </w:rPr>
        <w:t>1,2</w:t>
      </w:r>
    </w:p>
    <w:p w:rsidR="00D426EB" w:rsidRPr="005D38BE" w:rsidRDefault="00D426EB" w:rsidP="00D426EB">
      <w:pPr>
        <w:spacing w:line="240" w:lineRule="auto"/>
        <w:jc w:val="center"/>
        <w:rPr>
          <w:rFonts w:cs="Times New Roman"/>
          <w:color w:val="000000" w:themeColor="text1"/>
          <w:vertAlign w:val="superscript"/>
        </w:rPr>
      </w:pPr>
      <w:r w:rsidRPr="005D38BE">
        <w:rPr>
          <w:rFonts w:cs="Times New Roman"/>
          <w:color w:val="000000" w:themeColor="text1"/>
          <w:vertAlign w:val="superscript"/>
        </w:rPr>
        <w:t>1</w:t>
      </w:r>
      <w:r w:rsidRPr="005D38BE">
        <w:rPr>
          <w:rFonts w:cs="Times New Roman"/>
          <w:color w:val="000000" w:themeColor="text1"/>
          <w:shd w:val="clear" w:color="auto" w:fill="FFFFFF"/>
        </w:rPr>
        <w:t>Московский физико-технический институт (</w:t>
      </w:r>
      <w:r w:rsidR="00601E8B" w:rsidRPr="00601E8B">
        <w:rPr>
          <w:rFonts w:cs="Times New Roman"/>
          <w:color w:val="000000" w:themeColor="text1"/>
          <w:shd w:val="clear" w:color="auto" w:fill="FFFFFF"/>
        </w:rPr>
        <w:t>национальный исследовательский университет</w:t>
      </w:r>
      <w:r w:rsidRPr="005D38BE">
        <w:rPr>
          <w:rFonts w:cs="Times New Roman"/>
          <w:color w:val="000000" w:themeColor="text1"/>
          <w:shd w:val="clear" w:color="auto" w:fill="FFFFFF"/>
        </w:rPr>
        <w:t>)</w:t>
      </w:r>
    </w:p>
    <w:p w:rsidR="00D426EB" w:rsidRDefault="00D426EB" w:rsidP="00D426EB">
      <w:pPr>
        <w:spacing w:line="240" w:lineRule="auto"/>
        <w:jc w:val="center"/>
        <w:rPr>
          <w:rFonts w:cs="Times New Roman"/>
        </w:rPr>
      </w:pPr>
      <w:r w:rsidRPr="005D38BE">
        <w:rPr>
          <w:rFonts w:cs="Times New Roman"/>
          <w:vertAlign w:val="superscript"/>
        </w:rPr>
        <w:t>2</w:t>
      </w:r>
      <w:r w:rsidRPr="005D38BE">
        <w:rPr>
          <w:rFonts w:cs="Times New Roman"/>
        </w:rPr>
        <w:t>Объединенный институт высоких температур</w:t>
      </w:r>
    </w:p>
    <w:p w:rsidR="00D426EB" w:rsidRPr="005D38BE" w:rsidRDefault="00D426EB" w:rsidP="00D426EB">
      <w:pPr>
        <w:spacing w:line="240" w:lineRule="auto"/>
        <w:jc w:val="center"/>
        <w:rPr>
          <w:rFonts w:cs="Times New Roman"/>
        </w:rPr>
      </w:pPr>
    </w:p>
    <w:p w:rsidR="00D426EB" w:rsidRDefault="00D426EB" w:rsidP="00D426EB">
      <w:pPr>
        <w:spacing w:line="24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Данные о термодинамических свойствах индивидуальных веществ используются во многих наукоёмких отраслях промышленности, таких как металлургия, ракетостроение, ядерная энергетика и т.д. Для систематизации большого количества таких данных необходимо активно развивать современные методы анализа и хранения данных о термодинамических функциях. Примером подобной системы является информационная баз</w:t>
      </w:r>
      <w:bookmarkStart w:id="0" w:name="_GoBack"/>
      <w:bookmarkEnd w:id="0"/>
      <w:r>
        <w:rPr>
          <w:rFonts w:cs="Times New Roman"/>
        </w:rPr>
        <w:t>а данных “ИВТАНТЕРМО” [1], развиваемая</w:t>
      </w:r>
      <w:r w:rsidRPr="00844537">
        <w:rPr>
          <w:rFonts w:cs="Times New Roman"/>
        </w:rPr>
        <w:t xml:space="preserve"> в </w:t>
      </w:r>
      <w:proofErr w:type="spellStart"/>
      <w:r w:rsidRPr="00844537">
        <w:rPr>
          <w:rFonts w:cs="Times New Roman"/>
        </w:rPr>
        <w:t>Термоцентре</w:t>
      </w:r>
      <w:proofErr w:type="spellEnd"/>
      <w:r w:rsidRPr="00844537">
        <w:rPr>
          <w:rFonts w:cs="Times New Roman"/>
        </w:rPr>
        <w:t xml:space="preserve"> им. В.П. Глушко ОИВТ РАН.</w:t>
      </w:r>
    </w:p>
    <w:p w:rsidR="00D426EB" w:rsidRDefault="00D426EB" w:rsidP="00D426EB">
      <w:pPr>
        <w:spacing w:line="24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Создание новых методов расчета термодинамических функций, а также разработка новых программ для реализации созданных методов необходимы для регулярного обновления информации в современных термодинамических базах данных. Для расчета термодинамических функций веществ в газовой фазе, как правило, используют метод молекулярных постоянных, он описан в справочнике [</w:t>
      </w:r>
      <w:r w:rsidRPr="00174ADB">
        <w:rPr>
          <w:rFonts w:cs="Times New Roman"/>
        </w:rPr>
        <w:t>2</w:t>
      </w:r>
      <w:r>
        <w:rPr>
          <w:rFonts w:cs="Times New Roman"/>
        </w:rPr>
        <w:t xml:space="preserve">] и также используется в других работах. Однако отсутствие точных данных о молекулярных постоянных и экспериментальных данных о высоких колебательно-вращательных уровнях энергии может привести к уменьшению точности расчетов. Альтернативная методика расчёта термодинамических свойств двухатомных газов представлена в работах </w:t>
      </w:r>
      <w:r w:rsidRPr="00174ADB">
        <w:rPr>
          <w:rFonts w:cs="Times New Roman"/>
        </w:rPr>
        <w:t>[</w:t>
      </w:r>
      <w:r>
        <w:rPr>
          <w:rFonts w:cs="Times New Roman"/>
        </w:rPr>
        <w:t>3-6</w:t>
      </w:r>
      <w:r w:rsidRPr="00174ADB">
        <w:rPr>
          <w:rFonts w:cs="Times New Roman"/>
        </w:rPr>
        <w:t>]</w:t>
      </w:r>
      <w:r>
        <w:rPr>
          <w:rFonts w:cs="Times New Roman"/>
        </w:rPr>
        <w:t xml:space="preserve">. В данных работах зависимость потенциальной энергии от межатомного расстояния рассчитывается квантово-химическими методами или определяется исходя из экспериментальных данных, далее проводится аппроксимация потенциальной кривой к выбранной модели и расчёт колебательно-вращательных уровней. </w:t>
      </w:r>
      <w:r w:rsidRPr="00864282">
        <w:rPr>
          <w:rFonts w:cs="Times New Roman"/>
        </w:rPr>
        <w:t>Но</w:t>
      </w:r>
      <w:r>
        <w:rPr>
          <w:rFonts w:cs="Times New Roman"/>
        </w:rPr>
        <w:t xml:space="preserve"> в представленных работах не исследовалось влияние точности первоначальной аппроксимации на итоговую температурную зависимость термодинамических функций. </w:t>
      </w:r>
    </w:p>
    <w:p w:rsidR="00D426EB" w:rsidRPr="00864282" w:rsidRDefault="00D426EB" w:rsidP="00D426EB">
      <w:pPr>
        <w:spacing w:line="24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В результате данной работы </w:t>
      </w:r>
      <w:r w:rsidRPr="00864282">
        <w:rPr>
          <w:rFonts w:cs="Times New Roman"/>
        </w:rPr>
        <w:t>был разработан</w:t>
      </w:r>
      <w:r>
        <w:rPr>
          <w:rFonts w:cs="Times New Roman"/>
        </w:rPr>
        <w:t xml:space="preserve"> метод для расчёта погрешностей термодинамических функций, связанных с подбором параметров аппроксимации потенциальной кривой межатомного взаимодействия. Исследование проводилось на примере основного и возбуждённых состояний молекулы </w:t>
      </w:r>
      <w:proofErr w:type="spellStart"/>
      <w:r>
        <w:rPr>
          <w:rFonts w:cs="Times New Roman"/>
          <w:lang w:val="en-US"/>
        </w:rPr>
        <w:t>ArN</w:t>
      </w:r>
      <w:proofErr w:type="spellEnd"/>
      <w:r w:rsidRPr="00533AEE">
        <w:rPr>
          <w:rFonts w:cs="Times New Roman"/>
        </w:rPr>
        <w:t>+</w:t>
      </w:r>
      <w:r>
        <w:rPr>
          <w:rFonts w:cs="Times New Roman"/>
        </w:rPr>
        <w:t>. Для аппроксимации зависимости потенциальной энергии от межатомного состояния был выбран расширенный потенциал осциллятора Морзе:</w:t>
      </w:r>
    </w:p>
    <w:bookmarkStart w:id="1" w:name="MTBlankEqn"/>
    <w:p w:rsidR="00D426EB" w:rsidRDefault="00D426EB" w:rsidP="00D426EB">
      <w:pPr>
        <w:spacing w:line="240" w:lineRule="auto"/>
        <w:ind w:firstLine="709"/>
        <w:jc w:val="center"/>
        <w:rPr>
          <w:rFonts w:cs="Times New Roman"/>
        </w:rPr>
      </w:pPr>
      <w:r w:rsidRPr="00A9474B">
        <w:rPr>
          <w:position w:val="-30"/>
        </w:rPr>
        <w:object w:dxaOrig="468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4pt;height:37pt" o:ole="">
            <v:imagedata r:id="rId4" o:title=""/>
          </v:shape>
          <o:OLEObject Type="Embed" ProgID="Equation.DSMT4" ShapeID="_x0000_i1025" DrawAspect="Content" ObjectID="_1697372815" r:id="rId5"/>
        </w:object>
      </w:r>
      <w:bookmarkEnd w:id="1"/>
    </w:p>
    <w:p w:rsidR="00D426EB" w:rsidRDefault="00D426EB" w:rsidP="00D426EB">
      <w:pPr>
        <w:spacing w:line="240" w:lineRule="auto"/>
        <w:jc w:val="both"/>
      </w:pPr>
      <w:r>
        <w:rPr>
          <w:rFonts w:cs="Times New Roman"/>
        </w:rPr>
        <w:t xml:space="preserve">здесь </w:t>
      </w:r>
      <w:r w:rsidRPr="00A9474B">
        <w:rPr>
          <w:position w:val="-10"/>
        </w:rPr>
        <w:object w:dxaOrig="300" w:dyaOrig="320">
          <v:shape id="_x0000_i1026" type="#_x0000_t75" style="width:15pt;height:16pt" o:ole="">
            <v:imagedata r:id="rId6" o:title=""/>
          </v:shape>
          <o:OLEObject Type="Embed" ProgID="Equation.DSMT4" ShapeID="_x0000_i1026" DrawAspect="Content" ObjectID="_1697372816" r:id="rId7"/>
        </w:object>
      </w:r>
      <w:r w:rsidRPr="00864282">
        <w:t xml:space="preserve"> - </w:t>
      </w:r>
      <w:r>
        <w:t xml:space="preserve">глубина потенциальной ямы, </w:t>
      </w:r>
      <w:r w:rsidRPr="00A9474B">
        <w:rPr>
          <w:position w:val="-10"/>
        </w:rPr>
        <w:object w:dxaOrig="200" w:dyaOrig="320">
          <v:shape id="_x0000_i1027" type="#_x0000_t75" style="width:10pt;height:16pt" o:ole="">
            <v:imagedata r:id="rId8" o:title=""/>
          </v:shape>
          <o:OLEObject Type="Embed" ProgID="Equation.DSMT4" ShapeID="_x0000_i1027" DrawAspect="Content" ObjectID="_1697372817" r:id="rId9"/>
        </w:object>
      </w:r>
      <w:r w:rsidRPr="00864282">
        <w:t xml:space="preserve"> - </w:t>
      </w:r>
      <w:r>
        <w:t xml:space="preserve">равновесное расстояние, </w:t>
      </w:r>
      <w:r w:rsidRPr="00A9474B">
        <w:rPr>
          <w:position w:val="-10"/>
        </w:rPr>
        <w:object w:dxaOrig="260" w:dyaOrig="320">
          <v:shape id="_x0000_i1028" type="#_x0000_t75" style="width:13pt;height:16pt" o:ole="">
            <v:imagedata r:id="rId10" o:title=""/>
          </v:shape>
          <o:OLEObject Type="Embed" ProgID="Equation.DSMT4" ShapeID="_x0000_i1028" DrawAspect="Content" ObjectID="_1697372818" r:id="rId11"/>
        </w:object>
      </w:r>
      <w:r w:rsidRPr="00864282">
        <w:t xml:space="preserve"> - </w:t>
      </w:r>
      <w:r>
        <w:t xml:space="preserve">набор параметров, варьируемых совместно с </w:t>
      </w:r>
      <w:r w:rsidRPr="00A9474B">
        <w:rPr>
          <w:position w:val="-10"/>
        </w:rPr>
        <w:object w:dxaOrig="300" w:dyaOrig="320">
          <v:shape id="_x0000_i1029" type="#_x0000_t75" style="width:15pt;height:16pt" o:ole="">
            <v:imagedata r:id="rId12" o:title=""/>
          </v:shape>
          <o:OLEObject Type="Embed" ProgID="Equation.DSMT4" ShapeID="_x0000_i1029" DrawAspect="Content" ObjectID="_1697372819" r:id="rId13"/>
        </w:object>
      </w:r>
      <w:r w:rsidRPr="00864282">
        <w:t xml:space="preserve"> </w:t>
      </w:r>
      <w:r>
        <w:t xml:space="preserve">и </w:t>
      </w:r>
      <w:r w:rsidRPr="00A9474B">
        <w:rPr>
          <w:position w:val="-10"/>
        </w:rPr>
        <w:object w:dxaOrig="200" w:dyaOrig="320">
          <v:shape id="_x0000_i1030" type="#_x0000_t75" style="width:10pt;height:16pt" o:ole="">
            <v:imagedata r:id="rId14" o:title=""/>
          </v:shape>
          <o:OLEObject Type="Embed" ProgID="Equation.DSMT4" ShapeID="_x0000_i1030" DrawAspect="Content" ObjectID="_1697372820" r:id="rId15"/>
        </w:object>
      </w:r>
      <w:r>
        <w:rPr>
          <w:noProof/>
        </w:rPr>
        <w:t xml:space="preserve"> </w:t>
      </w:r>
      <w:r>
        <w:t xml:space="preserve">при помощи нелинейного метода наименьших квадратов при фиксированных значениях </w:t>
      </w:r>
      <w:r w:rsidRPr="00A9474B">
        <w:rPr>
          <w:position w:val="-10"/>
        </w:rPr>
        <w:object w:dxaOrig="200" w:dyaOrig="240">
          <v:shape id="_x0000_i1031" type="#_x0000_t75" style="width:10pt;height:12pt" o:ole="">
            <v:imagedata r:id="rId16" o:title=""/>
          </v:shape>
          <o:OLEObject Type="Embed" ProgID="Equation.DSMT4" ShapeID="_x0000_i1031" DrawAspect="Content" ObjectID="_1697372821" r:id="rId17"/>
        </w:object>
      </w:r>
      <w:r>
        <w:t xml:space="preserve"> и </w:t>
      </w:r>
      <w:r w:rsidRPr="00A9474B">
        <w:rPr>
          <w:position w:val="-14"/>
        </w:rPr>
        <w:object w:dxaOrig="340" w:dyaOrig="360">
          <v:shape id="_x0000_i1032" type="#_x0000_t75" style="width:17pt;height:18pt" o:ole="">
            <v:imagedata r:id="rId18" o:title=""/>
          </v:shape>
          <o:OLEObject Type="Embed" ProgID="Equation.DSMT4" ShapeID="_x0000_i1032" DrawAspect="Content" ObjectID="_1697372822" r:id="rId19"/>
        </w:object>
      </w:r>
      <w:r>
        <w:rPr>
          <w:noProof/>
        </w:rPr>
        <w:t>, опреляющих форму модельного потенциала</w:t>
      </w:r>
      <w:r>
        <w:t>.</w:t>
      </w:r>
    </w:p>
    <w:p w:rsidR="00D426EB" w:rsidRDefault="00D426EB" w:rsidP="00D426EB">
      <w:pPr>
        <w:spacing w:line="240" w:lineRule="auto"/>
        <w:ind w:firstLine="709"/>
        <w:jc w:val="both"/>
      </w:pPr>
      <w:r>
        <w:t xml:space="preserve">На рис. 1а представлены примеры аппроксимаций </w:t>
      </w:r>
      <w:r>
        <w:rPr>
          <w:rFonts w:cs="Times New Roman"/>
        </w:rPr>
        <w:t>квантово-химических расчётов</w:t>
      </w:r>
      <w:r>
        <w:t xml:space="preserve"> с разными значениями </w:t>
      </w:r>
      <w:r w:rsidRPr="00A9474B">
        <w:rPr>
          <w:position w:val="-10"/>
        </w:rPr>
        <w:object w:dxaOrig="200" w:dyaOrig="240">
          <v:shape id="_x0000_i1033" type="#_x0000_t75" style="width:10pt;height:12pt" o:ole="">
            <v:imagedata r:id="rId20" o:title=""/>
          </v:shape>
          <o:OLEObject Type="Embed" ProgID="Equation.DSMT4" ShapeID="_x0000_i1033" DrawAspect="Content" ObjectID="_1697372823" r:id="rId21"/>
        </w:object>
      </w:r>
      <w:r>
        <w:t xml:space="preserve"> и </w:t>
      </w:r>
      <w:r w:rsidRPr="00A9474B">
        <w:rPr>
          <w:position w:val="-14"/>
        </w:rPr>
        <w:object w:dxaOrig="340" w:dyaOrig="360">
          <v:shape id="_x0000_i1034" type="#_x0000_t75" style="width:17pt;height:18pt" o:ole="">
            <v:imagedata r:id="rId22" o:title=""/>
          </v:shape>
          <o:OLEObject Type="Embed" ProgID="Equation.DSMT4" ShapeID="_x0000_i1034" DrawAspect="Content" ObjectID="_1697372824" r:id="rId23"/>
        </w:object>
      </w:r>
      <w:r>
        <w:t xml:space="preserve">. Для всех представленных вариантов аппроксимации были определены колебательно-вращательного спектры и термодинамические свойства </w:t>
      </w:r>
      <w:proofErr w:type="spellStart"/>
      <w:r>
        <w:rPr>
          <w:rFonts w:cs="Times New Roman"/>
          <w:lang w:val="en-US"/>
        </w:rPr>
        <w:t>ArN</w:t>
      </w:r>
      <w:proofErr w:type="spellEnd"/>
      <w:r w:rsidRPr="00533AEE">
        <w:rPr>
          <w:rFonts w:cs="Times New Roman"/>
        </w:rPr>
        <w:t>+</w:t>
      </w:r>
      <w:r>
        <w:t xml:space="preserve"> (рис. </w:t>
      </w:r>
      <w:r w:rsidRPr="00D426EB">
        <w:t>1</w:t>
      </w:r>
      <w:r>
        <w:t xml:space="preserve">б). Разработанный алгоритм, основанный на варьировании </w:t>
      </w:r>
      <w:r w:rsidRPr="00A9474B">
        <w:rPr>
          <w:position w:val="-10"/>
        </w:rPr>
        <w:object w:dxaOrig="260" w:dyaOrig="320">
          <v:shape id="_x0000_i1035" type="#_x0000_t75" style="width:13pt;height:16pt" o:ole="">
            <v:imagedata r:id="rId24" o:title=""/>
          </v:shape>
          <o:OLEObject Type="Embed" ProgID="Equation.DSMT4" ShapeID="_x0000_i1035" DrawAspect="Content" ObjectID="_1697372825" r:id="rId25"/>
        </w:object>
      </w:r>
      <w:r>
        <w:t xml:space="preserve">, </w:t>
      </w:r>
      <w:r w:rsidRPr="00A9474B">
        <w:rPr>
          <w:position w:val="-10"/>
        </w:rPr>
        <w:object w:dxaOrig="300" w:dyaOrig="320">
          <v:shape id="_x0000_i1036" type="#_x0000_t75" style="width:15pt;height:16pt" o:ole="">
            <v:imagedata r:id="rId26" o:title=""/>
          </v:shape>
          <o:OLEObject Type="Embed" ProgID="Equation.DSMT4" ShapeID="_x0000_i1036" DrawAspect="Content" ObjectID="_1697372826" r:id="rId27"/>
        </w:object>
      </w:r>
      <w:r w:rsidRPr="00864282">
        <w:t xml:space="preserve"> </w:t>
      </w:r>
      <w:r>
        <w:t xml:space="preserve">и </w:t>
      </w:r>
      <w:r w:rsidRPr="00A9474B">
        <w:rPr>
          <w:position w:val="-10"/>
        </w:rPr>
        <w:object w:dxaOrig="200" w:dyaOrig="320">
          <v:shape id="_x0000_i1037" type="#_x0000_t75" style="width:10pt;height:16pt" o:ole="">
            <v:imagedata r:id="rId28" o:title=""/>
          </v:shape>
          <o:OLEObject Type="Embed" ProgID="Equation.DSMT4" ShapeID="_x0000_i1037" DrawAspect="Content" ObjectID="_1697372827" r:id="rId29"/>
        </w:object>
      </w:r>
      <w:r>
        <w:t xml:space="preserve">, позволил определить влияние ключевых параметров потенциала </w:t>
      </w:r>
      <w:r w:rsidRPr="00A9474B">
        <w:rPr>
          <w:position w:val="-10"/>
        </w:rPr>
        <w:object w:dxaOrig="200" w:dyaOrig="240">
          <v:shape id="_x0000_i1038" type="#_x0000_t75" style="width:10pt;height:12pt" o:ole="">
            <v:imagedata r:id="rId30" o:title=""/>
          </v:shape>
          <o:OLEObject Type="Embed" ProgID="Equation.DSMT4" ShapeID="_x0000_i1038" DrawAspect="Content" ObjectID="_1697372828" r:id="rId31"/>
        </w:object>
      </w:r>
      <w:r>
        <w:t xml:space="preserve"> и </w:t>
      </w:r>
      <w:r w:rsidRPr="00A9474B">
        <w:rPr>
          <w:position w:val="-14"/>
        </w:rPr>
        <w:object w:dxaOrig="340" w:dyaOrig="360">
          <v:shape id="_x0000_i1039" type="#_x0000_t75" style="width:17pt;height:18pt" o:ole="">
            <v:imagedata r:id="rId32" o:title=""/>
          </v:shape>
          <o:OLEObject Type="Embed" ProgID="Equation.DSMT4" ShapeID="_x0000_i1039" DrawAspect="Content" ObjectID="_1697372829" r:id="rId33"/>
        </w:object>
      </w:r>
      <w:r>
        <w:t xml:space="preserve"> на погрешность рассчитанной теплоемкости, которая в представленном случае оказалась минимальной для </w:t>
      </w:r>
      <w:r w:rsidRPr="00A9474B">
        <w:rPr>
          <w:position w:val="-10"/>
        </w:rPr>
        <w:object w:dxaOrig="520" w:dyaOrig="300">
          <v:shape id="_x0000_i1040" type="#_x0000_t75" style="width:26pt;height:15pt" o:ole="">
            <v:imagedata r:id="rId34" o:title=""/>
          </v:shape>
          <o:OLEObject Type="Embed" ProgID="Equation.DSMT4" ShapeID="_x0000_i1040" DrawAspect="Content" ObjectID="_1697372830" r:id="rId35"/>
        </w:object>
      </w:r>
      <w:r>
        <w:t xml:space="preserve">, </w:t>
      </w:r>
      <w:r w:rsidRPr="00A9474B">
        <w:rPr>
          <w:position w:val="-14"/>
        </w:rPr>
        <w:object w:dxaOrig="700" w:dyaOrig="360">
          <v:shape id="_x0000_i1041" type="#_x0000_t75" style="width:35pt;height:18pt" o:ole="">
            <v:imagedata r:id="rId36" o:title=""/>
          </v:shape>
          <o:OLEObject Type="Embed" ProgID="Equation.DSMT4" ShapeID="_x0000_i1041" DrawAspect="Content" ObjectID="_1697372831" r:id="rId37"/>
        </w:object>
      </w:r>
      <w:r>
        <w:rPr>
          <w:noProof/>
        </w:rPr>
        <w:t>.</w:t>
      </w:r>
    </w:p>
    <w:p w:rsidR="00D426EB" w:rsidRDefault="00D426EB" w:rsidP="00D426EB">
      <w:pPr>
        <w:spacing w:line="240" w:lineRule="auto"/>
        <w:jc w:val="both"/>
        <w:rPr>
          <w:rFonts w:cs="Times New Roman"/>
        </w:rPr>
      </w:pPr>
      <w:r>
        <w:tab/>
        <w:t xml:space="preserve">В результате работы были определены термодинамические свойства молекулы </w:t>
      </w:r>
      <w:proofErr w:type="spellStart"/>
      <w:r>
        <w:rPr>
          <w:lang w:val="en-US"/>
        </w:rPr>
        <w:t>ArN</w:t>
      </w:r>
      <w:proofErr w:type="spellEnd"/>
      <w:r w:rsidRPr="00864282">
        <w:t>+</w:t>
      </w:r>
      <w:r>
        <w:t xml:space="preserve"> с учетом основного и первого возбужденного состояния. Также был разработан алгоритм, позволяющий </w:t>
      </w:r>
      <w:r>
        <w:rPr>
          <w:rFonts w:cs="Times New Roman"/>
        </w:rPr>
        <w:t>подбирать ключевые параметры модельного потенциала взаимодействия и оценивать погрешность, связанную с аппроксимацией результатов квантово-химических расчётов, которая в данном подходе является основной.</w:t>
      </w:r>
    </w:p>
    <w:p w:rsidR="00D426EB" w:rsidRDefault="00D426EB" w:rsidP="00D426EB">
      <w:pPr>
        <w:spacing w:line="240" w:lineRule="auto"/>
        <w:jc w:val="both"/>
        <w:rPr>
          <w:rFonts w:cs="Times New Roman"/>
        </w:rPr>
      </w:pPr>
      <w:r>
        <w:rPr>
          <w:rFonts w:cs="Times New Roman"/>
          <w:noProof/>
          <w:lang w:eastAsia="ru-RU"/>
        </w:rPr>
        <w:lastRenderedPageBreak/>
        <w:drawing>
          <wp:inline distT="0" distB="0" distL="0" distR="0" wp14:anchorId="63926F02" wp14:editId="03B985C8">
            <wp:extent cx="5940425" cy="258826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.png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8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26EB" w:rsidRDefault="00D426EB" w:rsidP="00D426EB">
      <w:pPr>
        <w:spacing w:line="240" w:lineRule="auto"/>
        <w:jc w:val="center"/>
        <w:rPr>
          <w:rFonts w:cs="Times New Roman"/>
        </w:rPr>
      </w:pPr>
      <w:r>
        <w:rPr>
          <w:rFonts w:cs="Times New Roman"/>
        </w:rPr>
        <w:t>Рис</w:t>
      </w:r>
      <w:r w:rsidRPr="00DA40F9">
        <w:rPr>
          <w:rFonts w:cs="Times New Roman"/>
        </w:rPr>
        <w:t xml:space="preserve">. 1. </w:t>
      </w:r>
      <w:r>
        <w:rPr>
          <w:rFonts w:cs="Times New Roman"/>
        </w:rPr>
        <w:t xml:space="preserve">Потенциал межатомного взаимодействия </w:t>
      </w:r>
      <w:proofErr w:type="spellStart"/>
      <w:r>
        <w:rPr>
          <w:rFonts w:cs="Times New Roman"/>
          <w:lang w:val="en-US"/>
        </w:rPr>
        <w:t>ArN</w:t>
      </w:r>
      <w:proofErr w:type="spellEnd"/>
      <w:r w:rsidRPr="00533AEE">
        <w:rPr>
          <w:rFonts w:cs="Times New Roman"/>
        </w:rPr>
        <w:t>+</w:t>
      </w:r>
      <w:r>
        <w:rPr>
          <w:rFonts w:cs="Times New Roman"/>
        </w:rPr>
        <w:t xml:space="preserve"> (а) и рассчитанная на его основе зависимость теплоёмкости от температуры (б) для различных параметров модели расширенного осциллятора Морзе:</w:t>
      </w:r>
      <w:r w:rsidRPr="005D77B0">
        <w:rPr>
          <w:rFonts w:cs="Times New Roman"/>
        </w:rPr>
        <w:t xml:space="preserve"> </w:t>
      </w:r>
      <w:r w:rsidRPr="005B7AD1">
        <w:rPr>
          <w:rFonts w:cs="Times New Roman"/>
        </w:rPr>
        <w:t>1 –</w:t>
      </w:r>
      <w:r w:rsidRPr="005B7AD1">
        <w:t xml:space="preserve"> </w:t>
      </w:r>
      <w:r w:rsidRPr="00A9474B">
        <w:rPr>
          <w:position w:val="-10"/>
        </w:rPr>
        <w:object w:dxaOrig="520" w:dyaOrig="300">
          <v:shape id="_x0000_i1042" type="#_x0000_t75" style="width:26pt;height:15pt" o:ole="">
            <v:imagedata r:id="rId39" o:title=""/>
          </v:shape>
          <o:OLEObject Type="Embed" ProgID="Equation.DSMT4" ShapeID="_x0000_i1042" DrawAspect="Content" ObjectID="_1697372832" r:id="rId40"/>
        </w:object>
      </w:r>
      <w:r w:rsidRPr="005B7AD1">
        <w:t xml:space="preserve">, </w:t>
      </w:r>
      <w:r w:rsidRPr="00A9474B">
        <w:rPr>
          <w:position w:val="-14"/>
        </w:rPr>
        <w:object w:dxaOrig="680" w:dyaOrig="360">
          <v:shape id="_x0000_i1043" type="#_x0000_t75" style="width:34pt;height:18pt" o:ole="">
            <v:imagedata r:id="rId41" o:title=""/>
          </v:shape>
          <o:OLEObject Type="Embed" ProgID="Equation.DSMT4" ShapeID="_x0000_i1043" DrawAspect="Content" ObjectID="_1697372833" r:id="rId42"/>
        </w:object>
      </w:r>
      <w:r w:rsidRPr="005B7AD1">
        <w:t>;</w:t>
      </w:r>
      <w:r w:rsidRPr="005B7AD1">
        <w:rPr>
          <w:rFonts w:cs="Times New Roman"/>
        </w:rPr>
        <w:t xml:space="preserve"> 2 – </w:t>
      </w:r>
      <w:r w:rsidRPr="00A9474B">
        <w:rPr>
          <w:position w:val="-10"/>
        </w:rPr>
        <w:object w:dxaOrig="520" w:dyaOrig="300">
          <v:shape id="_x0000_i1044" type="#_x0000_t75" style="width:26pt;height:15pt" o:ole="">
            <v:imagedata r:id="rId43" o:title=""/>
          </v:shape>
          <o:OLEObject Type="Embed" ProgID="Equation.DSMT4" ShapeID="_x0000_i1044" DrawAspect="Content" ObjectID="_1697372834" r:id="rId44"/>
        </w:object>
      </w:r>
      <w:r w:rsidRPr="005B7AD1">
        <w:t xml:space="preserve">, </w:t>
      </w:r>
      <w:r w:rsidRPr="00A9474B">
        <w:rPr>
          <w:position w:val="-14"/>
        </w:rPr>
        <w:object w:dxaOrig="700" w:dyaOrig="360">
          <v:shape id="_x0000_i1045" type="#_x0000_t75" style="width:35pt;height:18pt" o:ole="">
            <v:imagedata r:id="rId45" o:title=""/>
          </v:shape>
          <o:OLEObject Type="Embed" ProgID="Equation.DSMT4" ShapeID="_x0000_i1045" DrawAspect="Content" ObjectID="_1697372835" r:id="rId46"/>
        </w:object>
      </w:r>
      <w:r w:rsidRPr="005B7AD1">
        <w:rPr>
          <w:rFonts w:cs="Times New Roman"/>
        </w:rPr>
        <w:t>; 3 –</w:t>
      </w:r>
      <w:r w:rsidRPr="00A9474B">
        <w:rPr>
          <w:position w:val="-10"/>
        </w:rPr>
        <w:object w:dxaOrig="520" w:dyaOrig="300">
          <v:shape id="_x0000_i1046" type="#_x0000_t75" style="width:26pt;height:15pt" o:ole="">
            <v:imagedata r:id="rId47" o:title=""/>
          </v:shape>
          <o:OLEObject Type="Embed" ProgID="Equation.DSMT4" ShapeID="_x0000_i1046" DrawAspect="Content" ObjectID="_1697372836" r:id="rId48"/>
        </w:object>
      </w:r>
      <w:r w:rsidRPr="005B7AD1">
        <w:t xml:space="preserve">, </w:t>
      </w:r>
      <w:r w:rsidRPr="00A9474B">
        <w:rPr>
          <w:position w:val="-14"/>
        </w:rPr>
        <w:object w:dxaOrig="700" w:dyaOrig="360">
          <v:shape id="_x0000_i1047" type="#_x0000_t75" style="width:35pt;height:18pt" o:ole="">
            <v:imagedata r:id="rId49" o:title=""/>
          </v:shape>
          <o:OLEObject Type="Embed" ProgID="Equation.DSMT4" ShapeID="_x0000_i1047" DrawAspect="Content" ObjectID="_1697372837" r:id="rId50"/>
        </w:object>
      </w:r>
      <w:r w:rsidRPr="005B7AD1">
        <w:rPr>
          <w:rFonts w:cs="Times New Roman"/>
        </w:rPr>
        <w:t>; 4 –</w:t>
      </w:r>
      <w:r w:rsidRPr="00A9474B">
        <w:rPr>
          <w:position w:val="-10"/>
        </w:rPr>
        <w:object w:dxaOrig="520" w:dyaOrig="300">
          <v:shape id="_x0000_i1048" type="#_x0000_t75" style="width:26pt;height:15pt" o:ole="">
            <v:imagedata r:id="rId51" o:title=""/>
          </v:shape>
          <o:OLEObject Type="Embed" ProgID="Equation.DSMT4" ShapeID="_x0000_i1048" DrawAspect="Content" ObjectID="_1697372838" r:id="rId52"/>
        </w:object>
      </w:r>
      <w:r w:rsidRPr="005B7AD1">
        <w:t xml:space="preserve">, </w:t>
      </w:r>
      <w:r w:rsidRPr="00A9474B">
        <w:rPr>
          <w:position w:val="-14"/>
        </w:rPr>
        <w:object w:dxaOrig="700" w:dyaOrig="360">
          <v:shape id="_x0000_i1049" type="#_x0000_t75" style="width:35pt;height:18pt" o:ole="">
            <v:imagedata r:id="rId53" o:title=""/>
          </v:shape>
          <o:OLEObject Type="Embed" ProgID="Equation.DSMT4" ShapeID="_x0000_i1049" DrawAspect="Content" ObjectID="_1697372839" r:id="rId54"/>
        </w:object>
      </w:r>
      <w:r w:rsidRPr="005B7AD1">
        <w:t xml:space="preserve">; </w:t>
      </w:r>
      <w:r w:rsidRPr="005B7AD1">
        <w:rPr>
          <w:rFonts w:cs="Times New Roman"/>
        </w:rPr>
        <w:t>5 – исходные данные квантово-химических расчётов.</w:t>
      </w:r>
      <w:r w:rsidRPr="005B7AD1">
        <w:rPr>
          <w:rFonts w:cs="Times New Roman"/>
        </w:rPr>
        <w:br/>
      </w:r>
    </w:p>
    <w:p w:rsidR="00D426EB" w:rsidRPr="004E0F37" w:rsidRDefault="00D426EB" w:rsidP="00D426EB">
      <w:pPr>
        <w:jc w:val="center"/>
        <w:rPr>
          <w:rFonts w:cs="Times New Roman"/>
          <w:b/>
          <w:lang w:val="en-US"/>
        </w:rPr>
      </w:pPr>
      <w:r w:rsidRPr="000746B5">
        <w:rPr>
          <w:rFonts w:cs="Times New Roman"/>
          <w:b/>
        </w:rPr>
        <w:t>Литература</w:t>
      </w:r>
    </w:p>
    <w:p w:rsidR="00D426EB" w:rsidRPr="001819A8" w:rsidRDefault="00601E8B" w:rsidP="00D426EB">
      <w:pPr>
        <w:jc w:val="both"/>
        <w:rPr>
          <w:rFonts w:cs="Times New Roman"/>
          <w:sz w:val="20"/>
          <w:szCs w:val="20"/>
          <w:lang w:val="en-US"/>
        </w:rPr>
      </w:pPr>
      <w:r>
        <w:rPr>
          <w:rFonts w:cs="Times New Roman"/>
          <w:sz w:val="20"/>
          <w:szCs w:val="20"/>
          <w:lang w:val="en-US"/>
        </w:rPr>
        <w:t>1.</w:t>
      </w:r>
      <w:r w:rsidR="00D426EB" w:rsidRPr="004E0F37">
        <w:rPr>
          <w:rFonts w:cs="Times New Roman"/>
          <w:sz w:val="20"/>
          <w:szCs w:val="20"/>
          <w:lang w:val="en-US"/>
        </w:rPr>
        <w:t xml:space="preserve"> </w:t>
      </w:r>
      <w:proofErr w:type="spellStart"/>
      <w:r w:rsidR="00D426EB" w:rsidRPr="007E1C3B">
        <w:rPr>
          <w:rFonts w:cs="Times New Roman"/>
          <w:i/>
          <w:iCs/>
          <w:sz w:val="20"/>
          <w:szCs w:val="20"/>
          <w:lang w:val="en-US"/>
        </w:rPr>
        <w:t>Belov</w:t>
      </w:r>
      <w:proofErr w:type="spellEnd"/>
      <w:r w:rsidR="00D426EB" w:rsidRPr="004E0F37">
        <w:rPr>
          <w:rFonts w:cs="Times New Roman"/>
          <w:i/>
          <w:iCs/>
          <w:sz w:val="20"/>
          <w:szCs w:val="20"/>
          <w:lang w:val="en-US"/>
        </w:rPr>
        <w:t xml:space="preserve"> </w:t>
      </w:r>
      <w:r w:rsidR="00D426EB" w:rsidRPr="007E1C3B">
        <w:rPr>
          <w:rFonts w:cs="Times New Roman"/>
          <w:i/>
          <w:iCs/>
          <w:sz w:val="20"/>
          <w:szCs w:val="20"/>
          <w:lang w:val="en-US"/>
        </w:rPr>
        <w:t>G</w:t>
      </w:r>
      <w:r w:rsidR="00D426EB" w:rsidRPr="004E0F37">
        <w:rPr>
          <w:rFonts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="00D426EB" w:rsidRPr="007E1C3B">
        <w:rPr>
          <w:rFonts w:cs="Times New Roman"/>
          <w:i/>
          <w:iCs/>
          <w:sz w:val="20"/>
          <w:szCs w:val="20"/>
          <w:lang w:val="en-US"/>
        </w:rPr>
        <w:t>Dyachkov</w:t>
      </w:r>
      <w:proofErr w:type="spellEnd"/>
      <w:r w:rsidR="00D426EB" w:rsidRPr="004E0F37">
        <w:rPr>
          <w:rFonts w:cs="Times New Roman"/>
          <w:i/>
          <w:iCs/>
          <w:sz w:val="20"/>
          <w:szCs w:val="20"/>
          <w:lang w:val="en-US"/>
        </w:rPr>
        <w:t xml:space="preserve"> </w:t>
      </w:r>
      <w:r w:rsidR="00D426EB" w:rsidRPr="007E1C3B">
        <w:rPr>
          <w:rFonts w:cs="Times New Roman"/>
          <w:i/>
          <w:iCs/>
          <w:sz w:val="20"/>
          <w:szCs w:val="20"/>
          <w:lang w:val="en-US"/>
        </w:rPr>
        <w:t>S</w:t>
      </w:r>
      <w:r w:rsidR="00D426EB" w:rsidRPr="004E0F37">
        <w:rPr>
          <w:rFonts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="00D426EB" w:rsidRPr="007E1C3B">
        <w:rPr>
          <w:rFonts w:cs="Times New Roman"/>
          <w:i/>
          <w:iCs/>
          <w:sz w:val="20"/>
          <w:szCs w:val="20"/>
          <w:lang w:val="en-US"/>
        </w:rPr>
        <w:t>Levashov</w:t>
      </w:r>
      <w:proofErr w:type="spellEnd"/>
      <w:r w:rsidR="00D426EB" w:rsidRPr="004E0F37">
        <w:rPr>
          <w:rFonts w:cs="Times New Roman"/>
          <w:i/>
          <w:iCs/>
          <w:sz w:val="20"/>
          <w:szCs w:val="20"/>
          <w:lang w:val="en-US"/>
        </w:rPr>
        <w:t xml:space="preserve"> </w:t>
      </w:r>
      <w:r w:rsidR="00D426EB" w:rsidRPr="007E1C3B">
        <w:rPr>
          <w:rFonts w:cs="Times New Roman"/>
          <w:i/>
          <w:iCs/>
          <w:sz w:val="20"/>
          <w:szCs w:val="20"/>
          <w:lang w:val="en-US"/>
        </w:rPr>
        <w:t>P</w:t>
      </w:r>
      <w:r w:rsidR="00D426EB" w:rsidRPr="004E0F37">
        <w:rPr>
          <w:rFonts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="00D426EB" w:rsidRPr="007E1C3B">
        <w:rPr>
          <w:rFonts w:cs="Times New Roman"/>
          <w:i/>
          <w:iCs/>
          <w:sz w:val="20"/>
          <w:szCs w:val="20"/>
          <w:lang w:val="en-US"/>
        </w:rPr>
        <w:t>Lomonosov</w:t>
      </w:r>
      <w:proofErr w:type="spellEnd"/>
      <w:r w:rsidR="00D426EB" w:rsidRPr="004E0F37">
        <w:rPr>
          <w:rFonts w:cs="Times New Roman"/>
          <w:i/>
          <w:iCs/>
          <w:sz w:val="20"/>
          <w:szCs w:val="20"/>
          <w:lang w:val="en-US"/>
        </w:rPr>
        <w:t xml:space="preserve"> </w:t>
      </w:r>
      <w:r w:rsidR="00D426EB" w:rsidRPr="007E1C3B">
        <w:rPr>
          <w:rFonts w:cs="Times New Roman"/>
          <w:i/>
          <w:iCs/>
          <w:sz w:val="20"/>
          <w:szCs w:val="20"/>
          <w:lang w:val="en-US"/>
        </w:rPr>
        <w:t>I</w:t>
      </w:r>
      <w:r w:rsidR="00D426EB" w:rsidRPr="004E0F37">
        <w:rPr>
          <w:rFonts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="00D426EB" w:rsidRPr="007E1C3B">
        <w:rPr>
          <w:rFonts w:cs="Times New Roman"/>
          <w:i/>
          <w:iCs/>
          <w:sz w:val="20"/>
          <w:szCs w:val="20"/>
          <w:lang w:val="en-US"/>
        </w:rPr>
        <w:t>Minakov</w:t>
      </w:r>
      <w:proofErr w:type="spellEnd"/>
      <w:r w:rsidR="00D426EB" w:rsidRPr="004E0F37">
        <w:rPr>
          <w:rFonts w:cs="Times New Roman"/>
          <w:i/>
          <w:iCs/>
          <w:sz w:val="20"/>
          <w:szCs w:val="20"/>
          <w:lang w:val="en-US"/>
        </w:rPr>
        <w:t xml:space="preserve"> </w:t>
      </w:r>
      <w:r w:rsidR="00D426EB" w:rsidRPr="007E1C3B">
        <w:rPr>
          <w:rFonts w:cs="Times New Roman"/>
          <w:i/>
          <w:iCs/>
          <w:sz w:val="20"/>
          <w:szCs w:val="20"/>
          <w:lang w:val="en-US"/>
        </w:rPr>
        <w:t>D</w:t>
      </w:r>
      <w:r w:rsidR="00D426EB" w:rsidRPr="004E0F37">
        <w:rPr>
          <w:rFonts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="00D426EB" w:rsidRPr="007E1C3B">
        <w:rPr>
          <w:rFonts w:cs="Times New Roman"/>
          <w:i/>
          <w:iCs/>
          <w:sz w:val="20"/>
          <w:szCs w:val="20"/>
          <w:lang w:val="en-US"/>
        </w:rPr>
        <w:t>Morozov</w:t>
      </w:r>
      <w:proofErr w:type="spellEnd"/>
      <w:r w:rsidR="00D426EB" w:rsidRPr="004E0F37">
        <w:rPr>
          <w:rFonts w:cs="Times New Roman"/>
          <w:i/>
          <w:iCs/>
          <w:sz w:val="20"/>
          <w:szCs w:val="20"/>
          <w:lang w:val="en-US"/>
        </w:rPr>
        <w:t xml:space="preserve"> </w:t>
      </w:r>
      <w:r w:rsidR="00D426EB" w:rsidRPr="007E1C3B">
        <w:rPr>
          <w:rFonts w:cs="Times New Roman"/>
          <w:i/>
          <w:iCs/>
          <w:sz w:val="20"/>
          <w:szCs w:val="20"/>
          <w:lang w:val="en-US"/>
        </w:rPr>
        <w:t>I</w:t>
      </w:r>
      <w:r w:rsidR="00D426EB" w:rsidRPr="004E0F37">
        <w:rPr>
          <w:rFonts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="00D426EB" w:rsidRPr="007E1C3B">
        <w:rPr>
          <w:rFonts w:cs="Times New Roman"/>
          <w:i/>
          <w:iCs/>
          <w:sz w:val="20"/>
          <w:szCs w:val="20"/>
          <w:lang w:val="en-US"/>
        </w:rPr>
        <w:t>Sineva</w:t>
      </w:r>
      <w:proofErr w:type="spellEnd"/>
      <w:r w:rsidR="00D426EB" w:rsidRPr="004E0F37">
        <w:rPr>
          <w:rFonts w:cs="Times New Roman"/>
          <w:i/>
          <w:iCs/>
          <w:sz w:val="20"/>
          <w:szCs w:val="20"/>
          <w:lang w:val="en-US"/>
        </w:rPr>
        <w:t xml:space="preserve"> </w:t>
      </w:r>
      <w:r w:rsidR="00D426EB" w:rsidRPr="007E1C3B">
        <w:rPr>
          <w:rFonts w:cs="Times New Roman"/>
          <w:i/>
          <w:iCs/>
          <w:sz w:val="20"/>
          <w:szCs w:val="20"/>
          <w:lang w:val="en-US"/>
        </w:rPr>
        <w:t>M</w:t>
      </w:r>
      <w:r w:rsidR="00D426EB" w:rsidRPr="004E0F37">
        <w:rPr>
          <w:rFonts w:cs="Times New Roman"/>
          <w:i/>
          <w:iCs/>
          <w:sz w:val="20"/>
          <w:szCs w:val="20"/>
          <w:lang w:val="en-US"/>
        </w:rPr>
        <w:t xml:space="preserve"> </w:t>
      </w:r>
      <w:r w:rsidR="00D426EB" w:rsidRPr="007E1C3B">
        <w:rPr>
          <w:rFonts w:cs="Times New Roman"/>
          <w:i/>
          <w:iCs/>
          <w:sz w:val="20"/>
          <w:szCs w:val="20"/>
          <w:lang w:val="en-US"/>
        </w:rPr>
        <w:t>and</w:t>
      </w:r>
      <w:r w:rsidR="00D426EB" w:rsidRPr="004E0F37">
        <w:rPr>
          <w:rFonts w:cs="Times New Roman"/>
          <w:i/>
          <w:iCs/>
          <w:sz w:val="20"/>
          <w:szCs w:val="20"/>
          <w:lang w:val="en-US"/>
        </w:rPr>
        <w:t xml:space="preserve"> </w:t>
      </w:r>
      <w:r w:rsidR="00D426EB" w:rsidRPr="007E1C3B">
        <w:rPr>
          <w:rFonts w:cs="Times New Roman"/>
          <w:i/>
          <w:iCs/>
          <w:sz w:val="20"/>
          <w:szCs w:val="20"/>
          <w:lang w:val="en-US"/>
        </w:rPr>
        <w:t>Smirnov</w:t>
      </w:r>
      <w:r w:rsidR="00D426EB" w:rsidRPr="004E0F37">
        <w:rPr>
          <w:rFonts w:cs="Times New Roman"/>
          <w:i/>
          <w:iCs/>
          <w:sz w:val="20"/>
          <w:szCs w:val="20"/>
          <w:lang w:val="en-US"/>
        </w:rPr>
        <w:t xml:space="preserve"> </w:t>
      </w:r>
      <w:r w:rsidR="00D426EB" w:rsidRPr="007E1C3B">
        <w:rPr>
          <w:rFonts w:cs="Times New Roman"/>
          <w:i/>
          <w:iCs/>
          <w:sz w:val="20"/>
          <w:szCs w:val="20"/>
          <w:lang w:val="en-US"/>
        </w:rPr>
        <w:t>V</w:t>
      </w:r>
      <w:r w:rsidR="00D426EB" w:rsidRPr="004E0F37">
        <w:rPr>
          <w:rFonts w:cs="Times New Roman"/>
          <w:sz w:val="20"/>
          <w:szCs w:val="20"/>
          <w:lang w:val="en-US"/>
        </w:rPr>
        <w:t xml:space="preserve"> </w:t>
      </w:r>
      <w:r w:rsidR="00D426EB" w:rsidRPr="007E1C3B">
        <w:rPr>
          <w:rFonts w:cs="Times New Roman"/>
          <w:sz w:val="20"/>
          <w:szCs w:val="20"/>
          <w:lang w:val="en-US"/>
        </w:rPr>
        <w:t>The</w:t>
      </w:r>
      <w:r w:rsidR="00D426EB" w:rsidRPr="004E0F37">
        <w:rPr>
          <w:rFonts w:cs="Times New Roman"/>
          <w:sz w:val="20"/>
          <w:szCs w:val="20"/>
          <w:lang w:val="en-US"/>
        </w:rPr>
        <w:t xml:space="preserve"> </w:t>
      </w:r>
      <w:r w:rsidR="00D426EB" w:rsidRPr="007E1C3B">
        <w:rPr>
          <w:rFonts w:cs="Times New Roman"/>
          <w:sz w:val="20"/>
          <w:szCs w:val="20"/>
          <w:lang w:val="en-US"/>
        </w:rPr>
        <w:t>IVTANTHERMO</w:t>
      </w:r>
      <w:r w:rsidR="00D426EB" w:rsidRPr="004E0F37">
        <w:rPr>
          <w:rFonts w:cs="Times New Roman"/>
          <w:sz w:val="20"/>
          <w:szCs w:val="20"/>
          <w:lang w:val="en-US"/>
        </w:rPr>
        <w:t>-</w:t>
      </w:r>
      <w:r w:rsidR="00D426EB" w:rsidRPr="007E1C3B">
        <w:rPr>
          <w:rFonts w:cs="Times New Roman"/>
          <w:sz w:val="20"/>
          <w:szCs w:val="20"/>
          <w:lang w:val="en-US"/>
        </w:rPr>
        <w:t xml:space="preserve">Online database for thermodynamic properties of individual substances with web interface </w:t>
      </w:r>
      <w:r w:rsidR="00D426EB">
        <w:rPr>
          <w:rFonts w:cs="Times New Roman"/>
          <w:sz w:val="20"/>
          <w:szCs w:val="20"/>
          <w:lang w:val="en-US"/>
        </w:rPr>
        <w:t xml:space="preserve">// </w:t>
      </w:r>
      <w:r w:rsidR="00D426EB" w:rsidRPr="007E1C3B">
        <w:rPr>
          <w:rFonts w:cs="Times New Roman"/>
          <w:sz w:val="20"/>
          <w:szCs w:val="20"/>
          <w:lang w:val="en-US"/>
        </w:rPr>
        <w:t>J. Phys. Conf. Ser. 2018</w:t>
      </w:r>
      <w:r w:rsidR="00D426EB">
        <w:rPr>
          <w:rFonts w:cs="Times New Roman"/>
          <w:sz w:val="20"/>
          <w:szCs w:val="20"/>
          <w:lang w:val="en-US"/>
        </w:rPr>
        <w:t>. V.</w:t>
      </w:r>
      <w:r w:rsidR="00D426EB" w:rsidRPr="007E1C3B">
        <w:rPr>
          <w:rFonts w:cs="Times New Roman"/>
          <w:sz w:val="20"/>
          <w:szCs w:val="20"/>
          <w:lang w:val="en-US"/>
        </w:rPr>
        <w:t xml:space="preserve"> 946</w:t>
      </w:r>
      <w:r w:rsidR="00D426EB">
        <w:rPr>
          <w:rFonts w:cs="Times New Roman"/>
          <w:sz w:val="20"/>
          <w:szCs w:val="20"/>
          <w:lang w:val="en-US"/>
        </w:rPr>
        <w:t>. P.</w:t>
      </w:r>
      <w:r w:rsidR="00D426EB" w:rsidRPr="007E1C3B">
        <w:rPr>
          <w:rFonts w:cs="Times New Roman"/>
          <w:sz w:val="20"/>
          <w:szCs w:val="20"/>
          <w:lang w:val="en-US"/>
        </w:rPr>
        <w:t xml:space="preserve"> 012120</w:t>
      </w:r>
    </w:p>
    <w:p w:rsidR="00D426EB" w:rsidRPr="001819A8" w:rsidRDefault="00601E8B" w:rsidP="00D426EB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  <w:lang w:val="en-US"/>
        </w:rPr>
        <w:t>2.</w:t>
      </w:r>
      <w:r w:rsidR="00D426EB">
        <w:rPr>
          <w:rFonts w:cs="Times New Roman"/>
          <w:sz w:val="20"/>
          <w:szCs w:val="20"/>
          <w:lang w:val="en-US"/>
        </w:rPr>
        <w:t xml:space="preserve"> </w:t>
      </w:r>
      <w:proofErr w:type="spellStart"/>
      <w:r w:rsidR="00D426EB" w:rsidRPr="007E1C3B">
        <w:rPr>
          <w:rFonts w:cs="Times New Roman"/>
          <w:i/>
          <w:iCs/>
          <w:sz w:val="20"/>
          <w:szCs w:val="20"/>
          <w:lang w:val="en-US"/>
        </w:rPr>
        <w:t>Gurvich</w:t>
      </w:r>
      <w:proofErr w:type="spellEnd"/>
      <w:r w:rsidR="00D426EB" w:rsidRPr="007E1C3B">
        <w:rPr>
          <w:rFonts w:cs="Times New Roman"/>
          <w:i/>
          <w:iCs/>
          <w:sz w:val="20"/>
          <w:szCs w:val="20"/>
          <w:lang w:val="en-US"/>
        </w:rPr>
        <w:t xml:space="preserve"> L, </w:t>
      </w:r>
      <w:proofErr w:type="spellStart"/>
      <w:r w:rsidR="00D426EB" w:rsidRPr="007E1C3B">
        <w:rPr>
          <w:rFonts w:cs="Times New Roman"/>
          <w:i/>
          <w:iCs/>
          <w:sz w:val="20"/>
          <w:szCs w:val="20"/>
          <w:lang w:val="en-US"/>
        </w:rPr>
        <w:t>Veyts</w:t>
      </w:r>
      <w:proofErr w:type="spellEnd"/>
      <w:r w:rsidR="00D426EB" w:rsidRPr="007E1C3B">
        <w:rPr>
          <w:rFonts w:cs="Times New Roman"/>
          <w:i/>
          <w:iCs/>
          <w:sz w:val="20"/>
          <w:szCs w:val="20"/>
          <w:lang w:val="en-US"/>
        </w:rPr>
        <w:t xml:space="preserve"> I and </w:t>
      </w:r>
      <w:proofErr w:type="spellStart"/>
      <w:r w:rsidR="00D426EB" w:rsidRPr="007E1C3B">
        <w:rPr>
          <w:rFonts w:cs="Times New Roman"/>
          <w:i/>
          <w:iCs/>
          <w:sz w:val="20"/>
          <w:szCs w:val="20"/>
          <w:lang w:val="en-US"/>
        </w:rPr>
        <w:t>Alcock</w:t>
      </w:r>
      <w:proofErr w:type="spellEnd"/>
      <w:r w:rsidR="00D426EB" w:rsidRPr="007E1C3B">
        <w:rPr>
          <w:rFonts w:cs="Times New Roman"/>
          <w:i/>
          <w:iCs/>
          <w:sz w:val="20"/>
          <w:szCs w:val="20"/>
          <w:lang w:val="en-US"/>
        </w:rPr>
        <w:t xml:space="preserve"> C</w:t>
      </w:r>
      <w:r w:rsidR="00D426EB" w:rsidRPr="007E1C3B">
        <w:rPr>
          <w:rFonts w:cs="Times New Roman"/>
          <w:sz w:val="20"/>
          <w:szCs w:val="20"/>
          <w:lang w:val="en-US"/>
        </w:rPr>
        <w:t xml:space="preserve"> Thermodynamic</w:t>
      </w:r>
      <w:r w:rsidR="00D426EB">
        <w:rPr>
          <w:rFonts w:cs="Times New Roman"/>
          <w:sz w:val="20"/>
          <w:szCs w:val="20"/>
          <w:lang w:val="en-US"/>
        </w:rPr>
        <w:t xml:space="preserve"> </w:t>
      </w:r>
      <w:r w:rsidR="00D426EB" w:rsidRPr="007E1C3B">
        <w:rPr>
          <w:rFonts w:cs="Times New Roman"/>
          <w:sz w:val="20"/>
          <w:szCs w:val="20"/>
          <w:lang w:val="en-US"/>
        </w:rPr>
        <w:t>properties of individual substances</w:t>
      </w:r>
      <w:r w:rsidR="00D426EB">
        <w:rPr>
          <w:rFonts w:cs="Times New Roman"/>
          <w:sz w:val="20"/>
          <w:szCs w:val="20"/>
          <w:lang w:val="en-US"/>
        </w:rPr>
        <w:t xml:space="preserve"> // </w:t>
      </w:r>
      <w:r w:rsidR="00D426EB" w:rsidRPr="007E1C3B">
        <w:rPr>
          <w:rFonts w:cs="Times New Roman"/>
          <w:sz w:val="20"/>
          <w:szCs w:val="20"/>
          <w:lang w:val="en-US"/>
        </w:rPr>
        <w:t>Hemisphere</w:t>
      </w:r>
      <w:r w:rsidR="00D426EB">
        <w:rPr>
          <w:rFonts w:cs="Times New Roman"/>
          <w:sz w:val="20"/>
          <w:szCs w:val="20"/>
          <w:lang w:val="en-US"/>
        </w:rPr>
        <w:t xml:space="preserve"> </w:t>
      </w:r>
      <w:r w:rsidR="00D426EB" w:rsidRPr="007E1C3B">
        <w:rPr>
          <w:rFonts w:cs="Times New Roman"/>
          <w:sz w:val="20"/>
          <w:szCs w:val="20"/>
          <w:lang w:val="en-US"/>
        </w:rPr>
        <w:t>Publishing Corp.</w:t>
      </w:r>
      <w:r w:rsidR="00D426EB">
        <w:rPr>
          <w:rFonts w:cs="Times New Roman"/>
          <w:sz w:val="20"/>
          <w:szCs w:val="20"/>
          <w:lang w:val="en-US"/>
        </w:rPr>
        <w:t xml:space="preserve"> 1989. V</w:t>
      </w:r>
      <w:r w:rsidR="00D426EB" w:rsidRPr="001819A8">
        <w:rPr>
          <w:rFonts w:cs="Times New Roman"/>
          <w:sz w:val="20"/>
          <w:szCs w:val="20"/>
        </w:rPr>
        <w:t>. 1</w:t>
      </w:r>
    </w:p>
    <w:p w:rsidR="00D426EB" w:rsidRPr="00E85896" w:rsidRDefault="00D426EB" w:rsidP="00D426EB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3</w:t>
      </w:r>
      <w:r w:rsidR="00601E8B">
        <w:rPr>
          <w:rFonts w:cs="Times New Roman"/>
          <w:sz w:val="20"/>
          <w:szCs w:val="20"/>
        </w:rPr>
        <w:t>.</w:t>
      </w:r>
      <w:r w:rsidRPr="00E85896">
        <w:rPr>
          <w:rFonts w:cs="Times New Roman"/>
          <w:sz w:val="20"/>
          <w:szCs w:val="20"/>
        </w:rPr>
        <w:t xml:space="preserve"> </w:t>
      </w:r>
      <w:r w:rsidRPr="00E85896">
        <w:rPr>
          <w:rFonts w:cs="Times New Roman"/>
          <w:i/>
          <w:sz w:val="20"/>
          <w:szCs w:val="20"/>
        </w:rPr>
        <w:t xml:space="preserve">Мальцев М.А., Осина Е. Л. </w:t>
      </w:r>
      <w:r w:rsidRPr="00E85896">
        <w:rPr>
          <w:rFonts w:cs="Times New Roman"/>
          <w:sz w:val="20"/>
          <w:szCs w:val="20"/>
        </w:rPr>
        <w:t>Расчет термодинамических функций идеальных двухатомных газов // Вестник ОИВТ РАН. Т.2. с. 41</w:t>
      </w:r>
    </w:p>
    <w:p w:rsidR="00D426EB" w:rsidRPr="00E85896" w:rsidRDefault="00D426EB" w:rsidP="00D426EB">
      <w:pPr>
        <w:spacing w:line="240" w:lineRule="auto"/>
        <w:jc w:val="both"/>
        <w:rPr>
          <w:sz w:val="20"/>
          <w:szCs w:val="20"/>
        </w:rPr>
      </w:pPr>
      <w:r>
        <w:rPr>
          <w:rFonts w:cs="Times New Roman"/>
          <w:sz w:val="20"/>
          <w:szCs w:val="20"/>
          <w:lang w:val="en-US"/>
        </w:rPr>
        <w:t>4</w:t>
      </w:r>
      <w:r w:rsidR="00601E8B">
        <w:rPr>
          <w:sz w:val="20"/>
          <w:szCs w:val="20"/>
          <w:lang w:val="en-US"/>
        </w:rPr>
        <w:t>.</w:t>
      </w:r>
      <w:r w:rsidRPr="00E85896">
        <w:rPr>
          <w:sz w:val="20"/>
          <w:szCs w:val="20"/>
          <w:lang w:val="en-US"/>
        </w:rPr>
        <w:t xml:space="preserve"> </w:t>
      </w:r>
      <w:proofErr w:type="spellStart"/>
      <w:r w:rsidRPr="004E0F37">
        <w:rPr>
          <w:i/>
          <w:sz w:val="20"/>
          <w:szCs w:val="20"/>
          <w:lang w:val="en-US"/>
        </w:rPr>
        <w:t>Maltsev</w:t>
      </w:r>
      <w:proofErr w:type="spellEnd"/>
      <w:r w:rsidRPr="004E0F37">
        <w:rPr>
          <w:i/>
          <w:sz w:val="20"/>
          <w:szCs w:val="20"/>
          <w:lang w:val="en-US"/>
        </w:rPr>
        <w:t xml:space="preserve"> M.A., Kulikov A.N., </w:t>
      </w:r>
      <w:proofErr w:type="spellStart"/>
      <w:r w:rsidRPr="004E0F37">
        <w:rPr>
          <w:i/>
          <w:sz w:val="20"/>
          <w:szCs w:val="20"/>
          <w:lang w:val="en-US"/>
        </w:rPr>
        <w:t>Morozov</w:t>
      </w:r>
      <w:proofErr w:type="spellEnd"/>
      <w:r w:rsidRPr="004E0F37">
        <w:rPr>
          <w:i/>
          <w:sz w:val="20"/>
          <w:szCs w:val="20"/>
          <w:lang w:val="en-US"/>
        </w:rPr>
        <w:t xml:space="preserve"> I.V</w:t>
      </w:r>
      <w:r w:rsidRPr="00E85896">
        <w:rPr>
          <w:sz w:val="20"/>
          <w:szCs w:val="20"/>
          <w:lang w:val="en-US"/>
        </w:rPr>
        <w:t xml:space="preserve"> Thermodynamic properties of vanadium and cobalt </w:t>
      </w:r>
      <w:proofErr w:type="spellStart"/>
      <w:r w:rsidRPr="00E85896">
        <w:rPr>
          <w:sz w:val="20"/>
          <w:szCs w:val="20"/>
          <w:lang w:val="en-US"/>
        </w:rPr>
        <w:t>argide</w:t>
      </w:r>
      <w:proofErr w:type="spellEnd"/>
      <w:r w:rsidRPr="00E85896">
        <w:rPr>
          <w:sz w:val="20"/>
          <w:szCs w:val="20"/>
          <w:lang w:val="en-US"/>
        </w:rPr>
        <w:t xml:space="preserve"> ions, </w:t>
      </w:r>
      <w:proofErr w:type="spellStart"/>
      <w:r w:rsidRPr="00E85896">
        <w:rPr>
          <w:sz w:val="20"/>
          <w:szCs w:val="20"/>
          <w:lang w:val="en-US"/>
        </w:rPr>
        <w:t>VAr</w:t>
      </w:r>
      <w:proofErr w:type="spellEnd"/>
      <w:r w:rsidRPr="00E85896">
        <w:rPr>
          <w:sz w:val="20"/>
          <w:szCs w:val="20"/>
          <w:lang w:val="en-US"/>
        </w:rPr>
        <w:t xml:space="preserve">+ and </w:t>
      </w:r>
      <w:proofErr w:type="spellStart"/>
      <w:r w:rsidRPr="00E85896">
        <w:rPr>
          <w:sz w:val="20"/>
          <w:szCs w:val="20"/>
          <w:lang w:val="en-US"/>
        </w:rPr>
        <w:t>CoAr</w:t>
      </w:r>
      <w:proofErr w:type="spellEnd"/>
      <w:r w:rsidRPr="00E85896">
        <w:rPr>
          <w:sz w:val="20"/>
          <w:szCs w:val="20"/>
          <w:lang w:val="en-US"/>
        </w:rPr>
        <w:t xml:space="preserve">+ // J. Phys.: Conf. Ser. 2016 </w:t>
      </w:r>
      <w:r w:rsidRPr="00EA2BE3">
        <w:rPr>
          <w:sz w:val="20"/>
          <w:szCs w:val="20"/>
          <w:lang w:val="en-US"/>
        </w:rPr>
        <w:t xml:space="preserve">V. 774. </w:t>
      </w:r>
      <w:r w:rsidRPr="00E85896">
        <w:rPr>
          <w:sz w:val="20"/>
          <w:szCs w:val="20"/>
        </w:rPr>
        <w:t>P</w:t>
      </w:r>
      <w:r w:rsidRPr="00EA2BE3">
        <w:rPr>
          <w:sz w:val="20"/>
          <w:szCs w:val="20"/>
        </w:rPr>
        <w:t>. 012023</w:t>
      </w:r>
    </w:p>
    <w:p w:rsidR="00D426EB" w:rsidRPr="00D874F4" w:rsidRDefault="00D426EB" w:rsidP="00D426EB">
      <w:pPr>
        <w:spacing w:line="240" w:lineRule="auto"/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>5</w:t>
      </w:r>
      <w:r w:rsidR="00601E8B">
        <w:rPr>
          <w:sz w:val="20"/>
          <w:szCs w:val="20"/>
        </w:rPr>
        <w:t>.</w:t>
      </w:r>
      <w:r w:rsidRPr="00E85896">
        <w:rPr>
          <w:sz w:val="20"/>
          <w:szCs w:val="20"/>
        </w:rPr>
        <w:t xml:space="preserve"> </w:t>
      </w:r>
      <w:r w:rsidRPr="00D874F4">
        <w:rPr>
          <w:rFonts w:cs="Times New Roman"/>
          <w:i/>
          <w:iCs/>
          <w:sz w:val="20"/>
          <w:szCs w:val="20"/>
        </w:rPr>
        <w:t>Мальцев М.А., Осина Е.Л., Морозов И.В.</w:t>
      </w:r>
      <w:r w:rsidRPr="00D874F4">
        <w:rPr>
          <w:rFonts w:cs="Times New Roman"/>
          <w:sz w:val="20"/>
          <w:szCs w:val="20"/>
        </w:rPr>
        <w:t xml:space="preserve"> Термодинамические свойства </w:t>
      </w:r>
      <w:proofErr w:type="spellStart"/>
      <w:r w:rsidRPr="00D874F4">
        <w:rPr>
          <w:rFonts w:cs="Times New Roman"/>
          <w:sz w:val="20"/>
          <w:szCs w:val="20"/>
        </w:rPr>
        <w:t>димеров</w:t>
      </w:r>
      <w:proofErr w:type="spellEnd"/>
      <w:r w:rsidRPr="00D874F4">
        <w:rPr>
          <w:rFonts w:cs="Times New Roman"/>
          <w:sz w:val="20"/>
          <w:szCs w:val="20"/>
        </w:rPr>
        <w:t xml:space="preserve"> аргона Ar2+ и Ar2 // Теплофизика высоких температур. 2019. Т. 57 С. 42</w:t>
      </w:r>
    </w:p>
    <w:p w:rsidR="00D426EB" w:rsidRPr="000746B5" w:rsidRDefault="00D426EB" w:rsidP="00D426EB">
      <w:pPr>
        <w:spacing w:line="240" w:lineRule="auto"/>
        <w:jc w:val="both"/>
        <w:rPr>
          <w:rFonts w:cs="Times New Roman"/>
          <w:i/>
        </w:rPr>
      </w:pPr>
      <w:r>
        <w:rPr>
          <w:rFonts w:cs="Times New Roman"/>
          <w:sz w:val="20"/>
          <w:szCs w:val="20"/>
        </w:rPr>
        <w:t>6</w:t>
      </w:r>
      <w:r w:rsidR="00601E8B">
        <w:rPr>
          <w:rFonts w:cs="Times New Roman"/>
          <w:sz w:val="20"/>
          <w:szCs w:val="20"/>
        </w:rPr>
        <w:t>.</w:t>
      </w:r>
      <w:r w:rsidRPr="00E85896">
        <w:rPr>
          <w:rFonts w:cs="Times New Roman"/>
          <w:sz w:val="20"/>
          <w:szCs w:val="20"/>
        </w:rPr>
        <w:t xml:space="preserve"> </w:t>
      </w:r>
      <w:r w:rsidRPr="00D874F4">
        <w:rPr>
          <w:rFonts w:cs="Times New Roman"/>
          <w:i/>
          <w:iCs/>
          <w:sz w:val="20"/>
          <w:szCs w:val="20"/>
        </w:rPr>
        <w:t>Мальцев М.А., Осина Е.Л., Морозов И.В.</w:t>
      </w:r>
      <w:r w:rsidRPr="00D874F4">
        <w:rPr>
          <w:rFonts w:cs="Times New Roman"/>
          <w:sz w:val="20"/>
          <w:szCs w:val="20"/>
        </w:rPr>
        <w:t xml:space="preserve"> Термодинамические свойства </w:t>
      </w:r>
      <w:proofErr w:type="spellStart"/>
      <w:r w:rsidRPr="00D874F4">
        <w:rPr>
          <w:rFonts w:cs="Times New Roman"/>
          <w:sz w:val="20"/>
          <w:szCs w:val="20"/>
        </w:rPr>
        <w:t>ArH</w:t>
      </w:r>
      <w:proofErr w:type="spellEnd"/>
      <w:r w:rsidRPr="00D874F4">
        <w:rPr>
          <w:rFonts w:cs="Times New Roman"/>
          <w:sz w:val="20"/>
          <w:szCs w:val="20"/>
        </w:rPr>
        <w:t xml:space="preserve">+ и </w:t>
      </w:r>
      <w:proofErr w:type="spellStart"/>
      <w:r w:rsidRPr="00D874F4">
        <w:rPr>
          <w:rFonts w:cs="Times New Roman"/>
          <w:sz w:val="20"/>
          <w:szCs w:val="20"/>
        </w:rPr>
        <w:t>ArH</w:t>
      </w:r>
      <w:proofErr w:type="spellEnd"/>
      <w:r w:rsidRPr="00D874F4">
        <w:rPr>
          <w:rFonts w:cs="Times New Roman"/>
          <w:sz w:val="20"/>
          <w:szCs w:val="20"/>
        </w:rPr>
        <w:t xml:space="preserve"> // Теплофизика высоких температур. 2019. Т. 58. С. 367</w:t>
      </w:r>
    </w:p>
    <w:p w:rsidR="00642B40" w:rsidRDefault="00642B40"/>
    <w:sectPr w:rsidR="00642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01B"/>
    <w:rsid w:val="00601E8B"/>
    <w:rsid w:val="00642B40"/>
    <w:rsid w:val="00D426EB"/>
    <w:rsid w:val="00FF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F0370"/>
  <w15:chartTrackingRefBased/>
  <w15:docId w15:val="{0404658C-4F07-4094-8418-6E55212E4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6EB"/>
    <w:pPr>
      <w:spacing w:after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image" Target="media/image19.wmf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3.bin"/><Relationship Id="rId55" Type="http://schemas.openxmlformats.org/officeDocument/2006/relationships/fontTable" Target="fontTable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image" Target="media/image21.wmf"/><Relationship Id="rId48" Type="http://schemas.openxmlformats.org/officeDocument/2006/relationships/oleObject" Target="embeddings/oleObject22.bin"/><Relationship Id="rId56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png"/><Relationship Id="rId46" Type="http://schemas.openxmlformats.org/officeDocument/2006/relationships/oleObject" Target="embeddings/oleObject21.bin"/><Relationship Id="rId20" Type="http://schemas.openxmlformats.org/officeDocument/2006/relationships/image" Target="media/image9.wmf"/><Relationship Id="rId41" Type="http://schemas.openxmlformats.org/officeDocument/2006/relationships/image" Target="media/image20.wmf"/><Relationship Id="rId54" Type="http://schemas.openxmlformats.org/officeDocument/2006/relationships/oleObject" Target="embeddings/oleObject25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788</Words>
  <Characters>4494</Characters>
  <Application>Microsoft Office Word</Application>
  <DocSecurity>0</DocSecurity>
  <Lines>37</Lines>
  <Paragraphs>10</Paragraphs>
  <ScaleCrop>false</ScaleCrop>
  <Company/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Аксёнова</dc:creator>
  <cp:keywords/>
  <dc:description/>
  <cp:lastModifiedBy>Светлана Аксёнова</cp:lastModifiedBy>
  <cp:revision>3</cp:revision>
  <dcterms:created xsi:type="dcterms:W3CDTF">2021-10-25T17:10:00Z</dcterms:created>
  <dcterms:modified xsi:type="dcterms:W3CDTF">2021-11-02T12:40:00Z</dcterms:modified>
</cp:coreProperties>
</file>